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EFC2" w14:textId="2C7EECC6" w:rsidR="000822A1" w:rsidRPr="00A779E9" w:rsidRDefault="00EF415E" w:rsidP="0063732D">
      <w:pPr>
        <w:pStyle w:val="Heading1"/>
        <w:jc w:val="center"/>
        <w:rPr>
          <w:rFonts w:ascii="Palatino Linotype" w:hAnsi="Palatino Linotype" w:cs="Times New Roman"/>
          <w:color w:val="auto"/>
        </w:rPr>
      </w:pPr>
      <w:bookmarkStart w:id="0" w:name="_GoBack"/>
      <w:bookmarkEnd w:id="0"/>
      <w:r w:rsidRPr="00A779E9">
        <w:rPr>
          <w:rFonts w:ascii="Palatino Linotype" w:hAnsi="Palatino Linotype" w:cs="Times New Roman"/>
          <w:color w:val="auto"/>
        </w:rPr>
        <w:t xml:space="preserve">Uniform Procedure for “Doomsday” Orders </w:t>
      </w:r>
    </w:p>
    <w:p w14:paraId="5054B8A5" w14:textId="77777777" w:rsidR="00A138BC" w:rsidRPr="00A779E9" w:rsidRDefault="007A5422" w:rsidP="00A138BC">
      <w:pPr>
        <w:pStyle w:val="2Caps25"/>
        <w:spacing w:before="120" w:after="120"/>
        <w:ind w:left="360"/>
        <w:rPr>
          <w:rFonts w:ascii="Palatino Linotype" w:hAnsi="Palatino Linotype" w:cs="Times New Roman"/>
          <w:b/>
          <w:i/>
          <w:sz w:val="24"/>
          <w:szCs w:val="24"/>
        </w:rPr>
      </w:pPr>
      <w:r w:rsidRPr="00A779E9">
        <w:rPr>
          <w:rFonts w:ascii="Palatino Linotype" w:hAnsi="Palatino Linotype" w:cs="Times New Roman"/>
          <w:b/>
          <w:i/>
          <w:sz w:val="24"/>
          <w:szCs w:val="24"/>
        </w:rPr>
        <w:t>Background</w:t>
      </w:r>
    </w:p>
    <w:p w14:paraId="5D3C839B" w14:textId="1C4E3E40" w:rsidR="00A138BC" w:rsidRPr="00A779E9" w:rsidRDefault="00EF415E" w:rsidP="0063732D">
      <w:pPr>
        <w:pStyle w:val="2Caps25"/>
        <w:numPr>
          <w:ilvl w:val="0"/>
          <w:numId w:val="1"/>
        </w:numPr>
        <w:spacing w:before="120" w:after="120"/>
        <w:rPr>
          <w:rFonts w:ascii="Palatino Linotype" w:hAnsi="Palatino Linotype" w:cs="Times New Roman"/>
          <w:sz w:val="24"/>
          <w:szCs w:val="24"/>
        </w:rPr>
      </w:pPr>
      <w:r w:rsidRPr="00A779E9">
        <w:rPr>
          <w:rFonts w:ascii="Palatino Linotype" w:hAnsi="Palatino Linotype" w:cs="Times New Roman"/>
          <w:sz w:val="24"/>
          <w:szCs w:val="24"/>
        </w:rPr>
        <w:t xml:space="preserve">A “Doomsday” Order is an order </w:t>
      </w:r>
      <w:r w:rsidR="00665DC4">
        <w:rPr>
          <w:rFonts w:ascii="Palatino Linotype" w:hAnsi="Palatino Linotype" w:cs="Times New Roman"/>
          <w:sz w:val="24"/>
          <w:szCs w:val="24"/>
        </w:rPr>
        <w:t>that entitles</w:t>
      </w:r>
      <w:r w:rsidRPr="00A779E9">
        <w:rPr>
          <w:rFonts w:ascii="Palatino Linotype" w:hAnsi="Palatino Linotype" w:cs="Times New Roman"/>
          <w:sz w:val="24"/>
          <w:szCs w:val="24"/>
        </w:rPr>
        <w:t xml:space="preserve"> one party to relief upon presentation of evidence</w:t>
      </w:r>
      <w:r w:rsidR="002C1FCB" w:rsidRPr="00A779E9">
        <w:rPr>
          <w:rFonts w:ascii="Palatino Linotype" w:hAnsi="Palatino Linotype" w:cs="Times New Roman"/>
          <w:sz w:val="24"/>
          <w:szCs w:val="24"/>
        </w:rPr>
        <w:t xml:space="preserve"> that the other party has failed to comply with conditions imposed by the order.</w:t>
      </w:r>
      <w:r w:rsidR="004E4F5D">
        <w:rPr>
          <w:rFonts w:ascii="Palatino Linotype" w:hAnsi="Palatino Linotype" w:cs="Times New Roman"/>
          <w:sz w:val="24"/>
          <w:szCs w:val="24"/>
        </w:rPr>
        <w:t xml:space="preserve">  </w:t>
      </w:r>
      <w:r w:rsidR="00A138BC" w:rsidRPr="00A779E9">
        <w:rPr>
          <w:rFonts w:ascii="Palatino Linotype" w:hAnsi="Palatino Linotype" w:cs="Times New Roman"/>
          <w:sz w:val="24"/>
          <w:szCs w:val="24"/>
        </w:rPr>
        <w:t xml:space="preserve">Doomsday Orders can be imposed as a part of the court’s resolution of a pending motion or </w:t>
      </w:r>
      <w:r w:rsidR="005C0F51" w:rsidRPr="00A779E9">
        <w:rPr>
          <w:rFonts w:ascii="Palatino Linotype" w:hAnsi="Palatino Linotype" w:cs="Times New Roman"/>
          <w:sz w:val="24"/>
          <w:szCs w:val="24"/>
        </w:rPr>
        <w:t xml:space="preserve">as part of a consensual resolution among the parties. </w:t>
      </w:r>
      <w:r w:rsidR="00A138BC" w:rsidRPr="00A779E9">
        <w:rPr>
          <w:rFonts w:ascii="Palatino Linotype" w:hAnsi="Palatino Linotype" w:cs="Times New Roman"/>
          <w:sz w:val="24"/>
          <w:szCs w:val="24"/>
        </w:rPr>
        <w:t xml:space="preserve"> </w:t>
      </w:r>
    </w:p>
    <w:p w14:paraId="7591C033" w14:textId="00B6DA52" w:rsidR="00A138BC" w:rsidRPr="00A779E9" w:rsidRDefault="00EF415E" w:rsidP="00A138BC">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 xml:space="preserve">For example, the parties to a motion for relief from stay may agree </w:t>
      </w:r>
      <w:r w:rsidR="00A138BC" w:rsidRPr="00A779E9">
        <w:rPr>
          <w:rFonts w:ascii="Palatino Linotype" w:hAnsi="Palatino Linotype" w:cs="Times New Roman"/>
          <w:sz w:val="24"/>
          <w:szCs w:val="24"/>
        </w:rPr>
        <w:t xml:space="preserve">to a Doomsday Order by which </w:t>
      </w:r>
      <w:r w:rsidRPr="00A779E9">
        <w:rPr>
          <w:rFonts w:ascii="Palatino Linotype" w:hAnsi="Palatino Linotype" w:cs="Times New Roman"/>
          <w:sz w:val="24"/>
          <w:szCs w:val="24"/>
        </w:rPr>
        <w:t xml:space="preserve">the debtor </w:t>
      </w:r>
      <w:r w:rsidR="00A138BC" w:rsidRPr="00A779E9">
        <w:rPr>
          <w:rFonts w:ascii="Palatino Linotype" w:hAnsi="Palatino Linotype" w:cs="Times New Roman"/>
          <w:sz w:val="24"/>
          <w:szCs w:val="24"/>
        </w:rPr>
        <w:t xml:space="preserve">is required to </w:t>
      </w:r>
      <w:r w:rsidRPr="00A779E9">
        <w:rPr>
          <w:rFonts w:ascii="Palatino Linotype" w:hAnsi="Palatino Linotype" w:cs="Times New Roman"/>
          <w:sz w:val="24"/>
          <w:szCs w:val="24"/>
        </w:rPr>
        <w:t>make all contractually required payments</w:t>
      </w:r>
      <w:r w:rsidR="00A138BC" w:rsidRPr="00A779E9">
        <w:rPr>
          <w:rFonts w:ascii="Palatino Linotype" w:hAnsi="Palatino Linotype" w:cs="Times New Roman"/>
          <w:sz w:val="24"/>
          <w:szCs w:val="24"/>
        </w:rPr>
        <w:t xml:space="preserve"> to the creditor</w:t>
      </w:r>
      <w:r w:rsidRPr="00A779E9">
        <w:rPr>
          <w:rFonts w:ascii="Palatino Linotype" w:hAnsi="Palatino Linotype" w:cs="Times New Roman"/>
          <w:sz w:val="24"/>
          <w:szCs w:val="24"/>
        </w:rPr>
        <w:t xml:space="preserve"> for </w:t>
      </w:r>
      <w:r w:rsidR="00A138BC" w:rsidRPr="00A779E9">
        <w:rPr>
          <w:rFonts w:ascii="Palatino Linotype" w:hAnsi="Palatino Linotype" w:cs="Times New Roman"/>
          <w:sz w:val="24"/>
          <w:szCs w:val="24"/>
        </w:rPr>
        <w:t xml:space="preserve">a set period, with any default during that period entitling the creditor to </w:t>
      </w:r>
      <w:r w:rsidR="00A138BC" w:rsidRPr="00BD5EE5">
        <w:rPr>
          <w:rFonts w:ascii="Palatino Linotype" w:hAnsi="Palatino Linotype" w:cs="Times New Roman"/>
          <w:sz w:val="24"/>
          <w:szCs w:val="24"/>
        </w:rPr>
        <w:t xml:space="preserve">file </w:t>
      </w:r>
      <w:r w:rsidR="00BD5EE5" w:rsidRPr="00BD5EE5">
        <w:rPr>
          <w:rFonts w:ascii="Palatino Linotype" w:hAnsi="Palatino Linotype" w:cs="Times New Roman"/>
          <w:sz w:val="24"/>
          <w:szCs w:val="24"/>
        </w:rPr>
        <w:t>e</w:t>
      </w:r>
      <w:r w:rsidR="002C1FCB" w:rsidRPr="00BD5EE5">
        <w:rPr>
          <w:rFonts w:ascii="Palatino Linotype" w:hAnsi="Palatino Linotype" w:cs="Times New Roman"/>
          <w:sz w:val="24"/>
          <w:szCs w:val="24"/>
        </w:rPr>
        <w:t xml:space="preserve">vidence </w:t>
      </w:r>
      <w:r w:rsidR="00BD5EE5" w:rsidRPr="00BD5EE5">
        <w:rPr>
          <w:rFonts w:ascii="Palatino Linotype" w:hAnsi="Palatino Linotype" w:cs="Times New Roman"/>
          <w:sz w:val="24"/>
          <w:szCs w:val="24"/>
        </w:rPr>
        <w:t>showing a default</w:t>
      </w:r>
      <w:r w:rsidR="00254C28">
        <w:rPr>
          <w:rFonts w:ascii="Palatino Linotype" w:hAnsi="Palatino Linotype" w:cs="Times New Roman"/>
          <w:sz w:val="24"/>
          <w:szCs w:val="24"/>
        </w:rPr>
        <w:t xml:space="preserve"> and</w:t>
      </w:r>
      <w:r w:rsidR="002C1FCB" w:rsidRPr="00BD5EE5">
        <w:rPr>
          <w:rFonts w:ascii="Palatino Linotype" w:hAnsi="Palatino Linotype" w:cs="Times New Roman"/>
          <w:sz w:val="24"/>
          <w:szCs w:val="24"/>
        </w:rPr>
        <w:t xml:space="preserve"> </w:t>
      </w:r>
      <w:r w:rsidR="00B05071" w:rsidRPr="00BD5EE5">
        <w:rPr>
          <w:rFonts w:ascii="Palatino Linotype" w:hAnsi="Palatino Linotype" w:cs="Times New Roman"/>
          <w:sz w:val="24"/>
          <w:szCs w:val="24"/>
        </w:rPr>
        <w:t>informing</w:t>
      </w:r>
      <w:r w:rsidR="00B05071" w:rsidRPr="00A779E9">
        <w:rPr>
          <w:rFonts w:ascii="Palatino Linotype" w:hAnsi="Palatino Linotype" w:cs="Times New Roman"/>
          <w:sz w:val="24"/>
          <w:szCs w:val="24"/>
        </w:rPr>
        <w:t xml:space="preserve"> the court of the violation, after which </w:t>
      </w:r>
      <w:r w:rsidR="00A138BC" w:rsidRPr="00A779E9">
        <w:rPr>
          <w:rFonts w:ascii="Palatino Linotype" w:hAnsi="Palatino Linotype" w:cs="Times New Roman"/>
          <w:sz w:val="24"/>
          <w:szCs w:val="24"/>
        </w:rPr>
        <w:t xml:space="preserve">the court will </w:t>
      </w:r>
      <w:r w:rsidR="00B05071" w:rsidRPr="00A779E9">
        <w:rPr>
          <w:rFonts w:ascii="Palatino Linotype" w:hAnsi="Palatino Linotype" w:cs="Times New Roman"/>
          <w:sz w:val="24"/>
          <w:szCs w:val="24"/>
        </w:rPr>
        <w:t xml:space="preserve">enter an order </w:t>
      </w:r>
      <w:r w:rsidR="00A138BC" w:rsidRPr="00A779E9">
        <w:rPr>
          <w:rFonts w:ascii="Palatino Linotype" w:hAnsi="Palatino Linotype" w:cs="Times New Roman"/>
          <w:sz w:val="24"/>
          <w:szCs w:val="24"/>
        </w:rPr>
        <w:t>grant</w:t>
      </w:r>
      <w:r w:rsidR="00B05071" w:rsidRPr="00A779E9">
        <w:rPr>
          <w:rFonts w:ascii="Palatino Linotype" w:hAnsi="Palatino Linotype" w:cs="Times New Roman"/>
          <w:sz w:val="24"/>
          <w:szCs w:val="24"/>
        </w:rPr>
        <w:t>ing</w:t>
      </w:r>
      <w:r w:rsidR="00A138BC" w:rsidRPr="00A779E9">
        <w:rPr>
          <w:rFonts w:ascii="Palatino Linotype" w:hAnsi="Palatino Linotype" w:cs="Times New Roman"/>
          <w:sz w:val="24"/>
          <w:szCs w:val="24"/>
        </w:rPr>
        <w:t xml:space="preserve"> relief from stay.  </w:t>
      </w:r>
    </w:p>
    <w:p w14:paraId="73875E22" w14:textId="390577EE" w:rsidR="00EF415E" w:rsidRPr="00A779E9" w:rsidRDefault="00A138BC" w:rsidP="00A138BC">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 xml:space="preserve">Similarly, the chapter 13 trustee may agree to resolve a motion to dismiss subject to the debtor taking certain actions </w:t>
      </w:r>
      <w:r w:rsidR="005F00D2" w:rsidRPr="00A779E9">
        <w:rPr>
          <w:rFonts w:ascii="Palatino Linotype" w:hAnsi="Palatino Linotype" w:cs="Times New Roman"/>
          <w:sz w:val="24"/>
          <w:szCs w:val="24"/>
        </w:rPr>
        <w:t xml:space="preserve">(making plan payments, filing an amended plan or budget, or filing tax returns) </w:t>
      </w:r>
      <w:r w:rsidRPr="00A779E9">
        <w:rPr>
          <w:rFonts w:ascii="Palatino Linotype" w:hAnsi="Palatino Linotype" w:cs="Times New Roman"/>
          <w:sz w:val="24"/>
          <w:szCs w:val="24"/>
        </w:rPr>
        <w:t>prior to specific deadlines and subject to a “doomsday</w:t>
      </w:r>
      <w:r w:rsidR="0023248B" w:rsidRPr="00A779E9">
        <w:rPr>
          <w:rFonts w:ascii="Palatino Linotype" w:hAnsi="Palatino Linotype" w:cs="Times New Roman"/>
          <w:sz w:val="24"/>
          <w:szCs w:val="24"/>
        </w:rPr>
        <w:t>,</w:t>
      </w:r>
      <w:r w:rsidRPr="00A779E9">
        <w:rPr>
          <w:rFonts w:ascii="Palatino Linotype" w:hAnsi="Palatino Linotype" w:cs="Times New Roman"/>
          <w:sz w:val="24"/>
          <w:szCs w:val="24"/>
        </w:rPr>
        <w:t>”</w:t>
      </w:r>
      <w:r w:rsidR="0023248B" w:rsidRPr="00A779E9">
        <w:rPr>
          <w:rFonts w:ascii="Palatino Linotype" w:hAnsi="Palatino Linotype" w:cs="Times New Roman"/>
          <w:sz w:val="24"/>
          <w:szCs w:val="24"/>
        </w:rPr>
        <w:t xml:space="preserve"> with any default resulting in the dismissal of the debtor’s case without the need for a further motion, notice or hearing.</w:t>
      </w:r>
      <w:r w:rsidRPr="00A779E9">
        <w:rPr>
          <w:rFonts w:ascii="Palatino Linotype" w:hAnsi="Palatino Linotype" w:cs="Times New Roman"/>
          <w:sz w:val="24"/>
          <w:szCs w:val="24"/>
        </w:rPr>
        <w:t xml:space="preserve">  </w:t>
      </w:r>
    </w:p>
    <w:p w14:paraId="1474BBDC" w14:textId="01E230B1" w:rsidR="00801C63" w:rsidRDefault="005F00D2" w:rsidP="005F00D2">
      <w:pPr>
        <w:pStyle w:val="2Caps25"/>
        <w:numPr>
          <w:ilvl w:val="0"/>
          <w:numId w:val="1"/>
        </w:numPr>
        <w:spacing w:before="120" w:after="120"/>
        <w:rPr>
          <w:rFonts w:ascii="Palatino Linotype" w:hAnsi="Palatino Linotype" w:cs="Times New Roman"/>
          <w:sz w:val="24"/>
          <w:szCs w:val="24"/>
        </w:rPr>
      </w:pPr>
      <w:r w:rsidRPr="00A779E9">
        <w:rPr>
          <w:rFonts w:ascii="Palatino Linotype" w:hAnsi="Palatino Linotype" w:cs="Times New Roman"/>
          <w:sz w:val="24"/>
          <w:szCs w:val="24"/>
        </w:rPr>
        <w:t>Once the Doomsday Order is entered, the party is under a court order to comply with</w:t>
      </w:r>
      <w:r w:rsidR="0023248B" w:rsidRPr="00A779E9">
        <w:rPr>
          <w:rFonts w:ascii="Palatino Linotype" w:hAnsi="Palatino Linotype" w:cs="Times New Roman"/>
          <w:sz w:val="24"/>
          <w:szCs w:val="24"/>
        </w:rPr>
        <w:t xml:space="preserve"> its terms. </w:t>
      </w:r>
      <w:r w:rsidR="00625C7A">
        <w:rPr>
          <w:rFonts w:ascii="Palatino Linotype" w:hAnsi="Palatino Linotype" w:cs="Times New Roman"/>
          <w:sz w:val="24"/>
          <w:szCs w:val="24"/>
        </w:rPr>
        <w:t xml:space="preserve"> </w:t>
      </w:r>
      <w:r w:rsidR="0023248B" w:rsidRPr="00A779E9">
        <w:rPr>
          <w:rFonts w:ascii="Palatino Linotype" w:hAnsi="Palatino Linotype" w:cs="Times New Roman"/>
          <w:sz w:val="24"/>
          <w:szCs w:val="24"/>
        </w:rPr>
        <w:t>A</w:t>
      </w:r>
      <w:r w:rsidRPr="00A779E9">
        <w:rPr>
          <w:rFonts w:ascii="Palatino Linotype" w:hAnsi="Palatino Linotype" w:cs="Times New Roman"/>
          <w:sz w:val="24"/>
          <w:szCs w:val="24"/>
        </w:rPr>
        <w:t xml:space="preserve"> default</w:t>
      </w:r>
      <w:r w:rsidR="0023248B" w:rsidRPr="00A779E9">
        <w:rPr>
          <w:rFonts w:ascii="Palatino Linotype" w:hAnsi="Palatino Linotype" w:cs="Times New Roman"/>
          <w:sz w:val="24"/>
          <w:szCs w:val="24"/>
        </w:rPr>
        <w:t xml:space="preserve"> on those terms</w:t>
      </w:r>
      <w:r w:rsidRPr="00A779E9">
        <w:rPr>
          <w:rFonts w:ascii="Palatino Linotype" w:hAnsi="Palatino Linotype" w:cs="Times New Roman"/>
          <w:sz w:val="24"/>
          <w:szCs w:val="24"/>
        </w:rPr>
        <w:t xml:space="preserve"> entitles the o</w:t>
      </w:r>
      <w:r w:rsidR="0023248B" w:rsidRPr="00A779E9">
        <w:rPr>
          <w:rFonts w:ascii="Palatino Linotype" w:hAnsi="Palatino Linotype" w:cs="Times New Roman"/>
          <w:sz w:val="24"/>
          <w:szCs w:val="24"/>
        </w:rPr>
        <w:t>ther</w:t>
      </w:r>
      <w:r w:rsidRPr="00A779E9">
        <w:rPr>
          <w:rFonts w:ascii="Palatino Linotype" w:hAnsi="Palatino Linotype" w:cs="Times New Roman"/>
          <w:sz w:val="24"/>
          <w:szCs w:val="24"/>
        </w:rPr>
        <w:t xml:space="preserve"> party to relief. </w:t>
      </w:r>
    </w:p>
    <w:p w14:paraId="2B333710" w14:textId="5A040EF8" w:rsidR="005F00D2" w:rsidRPr="00A779E9" w:rsidRDefault="00801C63" w:rsidP="005F00D2">
      <w:pPr>
        <w:pStyle w:val="2Caps25"/>
        <w:numPr>
          <w:ilvl w:val="0"/>
          <w:numId w:val="1"/>
        </w:numPr>
        <w:spacing w:before="120" w:after="120"/>
        <w:rPr>
          <w:rFonts w:ascii="Palatino Linotype" w:hAnsi="Palatino Linotype" w:cs="Times New Roman"/>
          <w:sz w:val="24"/>
          <w:szCs w:val="24"/>
        </w:rPr>
      </w:pPr>
      <w:r>
        <w:rPr>
          <w:rFonts w:ascii="Palatino Linotype" w:hAnsi="Palatino Linotype" w:cs="Times New Roman"/>
          <w:sz w:val="24"/>
          <w:szCs w:val="24"/>
        </w:rPr>
        <w:t xml:space="preserve">The </w:t>
      </w:r>
      <w:r w:rsidR="00C607CF">
        <w:rPr>
          <w:rFonts w:ascii="Palatino Linotype" w:hAnsi="Palatino Linotype" w:cs="Times New Roman"/>
          <w:sz w:val="24"/>
          <w:szCs w:val="24"/>
        </w:rPr>
        <w:t>L</w:t>
      </w:r>
      <w:r>
        <w:rPr>
          <w:rFonts w:ascii="Palatino Linotype" w:hAnsi="Palatino Linotype" w:cs="Times New Roman"/>
          <w:sz w:val="24"/>
          <w:szCs w:val="24"/>
        </w:rPr>
        <w:t xml:space="preserve">ocal </w:t>
      </w:r>
      <w:r w:rsidR="00C607CF">
        <w:rPr>
          <w:rFonts w:ascii="Palatino Linotype" w:hAnsi="Palatino Linotype" w:cs="Times New Roman"/>
          <w:sz w:val="24"/>
          <w:szCs w:val="24"/>
        </w:rPr>
        <w:t>Sample F</w:t>
      </w:r>
      <w:r>
        <w:rPr>
          <w:rFonts w:ascii="Palatino Linotype" w:hAnsi="Palatino Linotype" w:cs="Times New Roman"/>
          <w:sz w:val="24"/>
          <w:szCs w:val="24"/>
        </w:rPr>
        <w:t xml:space="preserve">orms </w:t>
      </w:r>
      <w:r w:rsidR="00C607CF">
        <w:rPr>
          <w:rFonts w:ascii="Palatino Linotype" w:hAnsi="Palatino Linotype" w:cs="Times New Roman"/>
          <w:sz w:val="24"/>
          <w:szCs w:val="24"/>
        </w:rPr>
        <w:t>tab</w:t>
      </w:r>
      <w:r>
        <w:rPr>
          <w:rFonts w:ascii="Palatino Linotype" w:hAnsi="Palatino Linotype" w:cs="Times New Roman"/>
          <w:sz w:val="24"/>
          <w:szCs w:val="24"/>
        </w:rPr>
        <w:t xml:space="preserve"> </w:t>
      </w:r>
      <w:r w:rsidR="00C607CF">
        <w:rPr>
          <w:rFonts w:ascii="Palatino Linotype" w:hAnsi="Palatino Linotype" w:cs="Times New Roman"/>
          <w:sz w:val="24"/>
          <w:szCs w:val="24"/>
        </w:rPr>
        <w:t>on</w:t>
      </w:r>
      <w:r>
        <w:rPr>
          <w:rFonts w:ascii="Palatino Linotype" w:hAnsi="Palatino Linotype" w:cs="Times New Roman"/>
          <w:sz w:val="24"/>
          <w:szCs w:val="24"/>
        </w:rPr>
        <w:t xml:space="preserve"> the court’s website </w:t>
      </w:r>
      <w:r w:rsidR="00C607CF">
        <w:rPr>
          <w:rFonts w:ascii="Palatino Linotype" w:hAnsi="Palatino Linotype" w:cs="Times New Roman"/>
          <w:sz w:val="24"/>
          <w:szCs w:val="24"/>
        </w:rPr>
        <w:t>(</w:t>
      </w:r>
      <w:hyperlink r:id="rId8" w:history="1">
        <w:r w:rsidR="00C607CF" w:rsidRPr="00621F18">
          <w:rPr>
            <w:rStyle w:val="Hyperlink"/>
            <w:rFonts w:ascii="Palatino Linotype" w:hAnsi="Palatino Linotype" w:cs="Times New Roman"/>
            <w:sz w:val="24"/>
            <w:szCs w:val="24"/>
          </w:rPr>
          <w:t>https://www.wieb.uscourts.gov/local-sample-forms</w:t>
        </w:r>
      </w:hyperlink>
      <w:r w:rsidR="00C607CF">
        <w:rPr>
          <w:rFonts w:ascii="Palatino Linotype" w:hAnsi="Palatino Linotype" w:cs="Times New Roman"/>
          <w:sz w:val="24"/>
          <w:szCs w:val="24"/>
        </w:rPr>
        <w:t xml:space="preserve">) </w:t>
      </w:r>
      <w:r>
        <w:rPr>
          <w:rFonts w:ascii="Palatino Linotype" w:hAnsi="Palatino Linotype" w:cs="Times New Roman"/>
          <w:sz w:val="24"/>
          <w:szCs w:val="24"/>
        </w:rPr>
        <w:t>contains several forms</w:t>
      </w:r>
      <w:r w:rsidR="00C607CF">
        <w:rPr>
          <w:rFonts w:ascii="Palatino Linotype" w:hAnsi="Palatino Linotype" w:cs="Times New Roman"/>
          <w:sz w:val="24"/>
          <w:szCs w:val="24"/>
        </w:rPr>
        <w:t>, which are referred to below, to assist parties in complying with the court’s Uniform Doomsday Procedure.</w:t>
      </w:r>
      <w:r w:rsidR="005F00D2" w:rsidRPr="00A779E9">
        <w:rPr>
          <w:rFonts w:ascii="Palatino Linotype" w:hAnsi="Palatino Linotype" w:cs="Times New Roman"/>
          <w:sz w:val="24"/>
          <w:szCs w:val="24"/>
        </w:rPr>
        <w:t xml:space="preserve"> </w:t>
      </w:r>
    </w:p>
    <w:p w14:paraId="66D42C43" w14:textId="298DE738" w:rsidR="00A138BC" w:rsidRPr="00A779E9" w:rsidRDefault="00A138BC" w:rsidP="00A138BC">
      <w:pPr>
        <w:pStyle w:val="2Caps25"/>
        <w:spacing w:before="120" w:after="120"/>
        <w:ind w:left="360"/>
        <w:rPr>
          <w:rFonts w:ascii="Palatino Linotype" w:hAnsi="Palatino Linotype" w:cs="Times New Roman"/>
          <w:b/>
          <w:i/>
          <w:sz w:val="24"/>
          <w:szCs w:val="24"/>
        </w:rPr>
      </w:pPr>
      <w:r w:rsidRPr="00A779E9">
        <w:rPr>
          <w:rFonts w:ascii="Palatino Linotype" w:hAnsi="Palatino Linotype" w:cs="Times New Roman"/>
          <w:b/>
          <w:i/>
          <w:sz w:val="24"/>
          <w:szCs w:val="24"/>
        </w:rPr>
        <w:t>Modification of Doomsday Orders</w:t>
      </w:r>
      <w:r w:rsidR="00B05071" w:rsidRPr="00A779E9">
        <w:rPr>
          <w:rFonts w:ascii="Palatino Linotype" w:hAnsi="Palatino Linotype" w:cs="Times New Roman"/>
          <w:b/>
          <w:i/>
          <w:sz w:val="24"/>
          <w:szCs w:val="24"/>
        </w:rPr>
        <w:t xml:space="preserve"> (Pre-Default)</w:t>
      </w:r>
    </w:p>
    <w:p w14:paraId="74B3032B" w14:textId="3B0BC28F" w:rsidR="005F00D2" w:rsidRPr="00A779E9" w:rsidRDefault="005F00D2" w:rsidP="00B05071">
      <w:pPr>
        <w:pStyle w:val="2Caps25"/>
        <w:numPr>
          <w:ilvl w:val="0"/>
          <w:numId w:val="1"/>
        </w:numPr>
        <w:spacing w:before="120" w:after="120"/>
        <w:rPr>
          <w:rFonts w:ascii="Palatino Linotype" w:hAnsi="Palatino Linotype" w:cs="Times New Roman"/>
          <w:sz w:val="24"/>
          <w:szCs w:val="24"/>
        </w:rPr>
      </w:pPr>
      <w:r w:rsidRPr="00A779E9">
        <w:rPr>
          <w:rFonts w:ascii="Palatino Linotype" w:hAnsi="Palatino Linotype" w:cs="Times New Roman"/>
          <w:sz w:val="24"/>
          <w:szCs w:val="24"/>
        </w:rPr>
        <w:t xml:space="preserve">A party that cannot comply with its obligations under a Doomsday Order should seek to amend the order </w:t>
      </w:r>
      <w:r w:rsidRPr="00A779E9">
        <w:rPr>
          <w:rFonts w:ascii="Palatino Linotype" w:hAnsi="Palatino Linotype" w:cs="Times New Roman"/>
          <w:b/>
          <w:i/>
          <w:sz w:val="24"/>
          <w:szCs w:val="24"/>
        </w:rPr>
        <w:t>before</w:t>
      </w:r>
      <w:r w:rsidRPr="00A779E9">
        <w:rPr>
          <w:rFonts w:ascii="Palatino Linotype" w:hAnsi="Palatino Linotype" w:cs="Times New Roman"/>
          <w:sz w:val="24"/>
          <w:szCs w:val="24"/>
        </w:rPr>
        <w:t xml:space="preserve"> any default occurs</w:t>
      </w:r>
      <w:r w:rsidR="0023248B" w:rsidRPr="00A779E9">
        <w:rPr>
          <w:rFonts w:ascii="Palatino Linotype" w:hAnsi="Palatino Linotype" w:cs="Times New Roman"/>
          <w:sz w:val="24"/>
          <w:szCs w:val="24"/>
        </w:rPr>
        <w:t>, either by agreement or motion</w:t>
      </w:r>
      <w:r w:rsidRPr="00A779E9">
        <w:rPr>
          <w:rFonts w:ascii="Palatino Linotype" w:hAnsi="Palatino Linotype" w:cs="Times New Roman"/>
          <w:sz w:val="24"/>
          <w:szCs w:val="24"/>
        </w:rPr>
        <w:t>.</w:t>
      </w:r>
    </w:p>
    <w:p w14:paraId="128D79FE" w14:textId="2D3AEDE5" w:rsidR="005F00D2" w:rsidRPr="00BD5EE5" w:rsidRDefault="005C0F51" w:rsidP="00B05071">
      <w:pPr>
        <w:pStyle w:val="2Caps25"/>
        <w:numPr>
          <w:ilvl w:val="0"/>
          <w:numId w:val="1"/>
        </w:numPr>
        <w:spacing w:before="120" w:after="120"/>
        <w:ind w:left="1080"/>
        <w:rPr>
          <w:rFonts w:ascii="Palatino Linotype" w:hAnsi="Palatino Linotype" w:cs="Times New Roman"/>
          <w:sz w:val="24"/>
          <w:szCs w:val="24"/>
        </w:rPr>
      </w:pPr>
      <w:r w:rsidRPr="00BD5EE5">
        <w:rPr>
          <w:rFonts w:ascii="Palatino Linotype" w:hAnsi="Palatino Linotype" w:cs="Times New Roman"/>
          <w:sz w:val="24"/>
          <w:szCs w:val="24"/>
        </w:rPr>
        <w:t xml:space="preserve">The parties to a Doomsday Order may stipulate to amendments to </w:t>
      </w:r>
      <w:r w:rsidR="005F00D2" w:rsidRPr="00BD5EE5">
        <w:rPr>
          <w:rFonts w:ascii="Palatino Linotype" w:hAnsi="Palatino Linotype" w:cs="Times New Roman"/>
          <w:sz w:val="24"/>
          <w:szCs w:val="24"/>
        </w:rPr>
        <w:t>the terms of a Doomsday Order.</w:t>
      </w:r>
      <w:r w:rsidR="0044296F">
        <w:rPr>
          <w:rFonts w:ascii="Palatino Linotype" w:hAnsi="Palatino Linotype" w:cs="Times New Roman"/>
          <w:sz w:val="24"/>
          <w:szCs w:val="24"/>
        </w:rPr>
        <w:t xml:space="preserve">  </w:t>
      </w:r>
      <w:r w:rsidRPr="00BD5EE5">
        <w:rPr>
          <w:rFonts w:ascii="Palatino Linotype" w:hAnsi="Palatino Linotype" w:cs="Times New Roman"/>
          <w:sz w:val="24"/>
          <w:szCs w:val="24"/>
        </w:rPr>
        <w:t>A party’s first recourse should be to ask other affected parties to ag</w:t>
      </w:r>
      <w:r w:rsidR="005F00D2" w:rsidRPr="00BD5EE5">
        <w:rPr>
          <w:rFonts w:ascii="Palatino Linotype" w:hAnsi="Palatino Linotype" w:cs="Times New Roman"/>
          <w:sz w:val="24"/>
          <w:szCs w:val="24"/>
        </w:rPr>
        <w:t>ree to an amendment</w:t>
      </w:r>
      <w:r w:rsidR="00AD497E" w:rsidRPr="00BD5EE5">
        <w:rPr>
          <w:rFonts w:ascii="Palatino Linotype" w:hAnsi="Palatino Linotype" w:cs="Times New Roman"/>
          <w:sz w:val="24"/>
          <w:szCs w:val="24"/>
        </w:rPr>
        <w:t>.</w:t>
      </w:r>
      <w:r w:rsidR="004E4F5D">
        <w:rPr>
          <w:rFonts w:ascii="Palatino Linotype" w:hAnsi="Palatino Linotype" w:cs="Times New Roman"/>
          <w:sz w:val="24"/>
          <w:szCs w:val="24"/>
        </w:rPr>
        <w:t xml:space="preserve">  </w:t>
      </w:r>
      <w:r w:rsidR="00AD497E" w:rsidRPr="00BD5EE5">
        <w:rPr>
          <w:rFonts w:ascii="Palatino Linotype" w:hAnsi="Palatino Linotype" w:cs="Times New Roman"/>
          <w:sz w:val="24"/>
          <w:szCs w:val="24"/>
        </w:rPr>
        <w:t>T</w:t>
      </w:r>
      <w:r w:rsidR="005F00D2" w:rsidRPr="00BD5EE5">
        <w:rPr>
          <w:rFonts w:ascii="Palatino Linotype" w:hAnsi="Palatino Linotype" w:cs="Times New Roman"/>
          <w:sz w:val="24"/>
          <w:szCs w:val="24"/>
        </w:rPr>
        <w:t xml:space="preserve">he court ordinarily </w:t>
      </w:r>
      <w:r w:rsidR="004B324F">
        <w:rPr>
          <w:rFonts w:ascii="Palatino Linotype" w:hAnsi="Palatino Linotype" w:cs="Times New Roman"/>
          <w:sz w:val="24"/>
          <w:szCs w:val="24"/>
        </w:rPr>
        <w:t xml:space="preserve">will </w:t>
      </w:r>
      <w:r w:rsidR="005F00D2" w:rsidRPr="00BD5EE5">
        <w:rPr>
          <w:rFonts w:ascii="Palatino Linotype" w:hAnsi="Palatino Linotype" w:cs="Times New Roman"/>
          <w:sz w:val="24"/>
          <w:szCs w:val="24"/>
        </w:rPr>
        <w:t xml:space="preserve">approve entry of an amended </w:t>
      </w:r>
      <w:r w:rsidR="00B05071" w:rsidRPr="00BD5EE5">
        <w:rPr>
          <w:rFonts w:ascii="Palatino Linotype" w:hAnsi="Palatino Linotype" w:cs="Times New Roman"/>
          <w:sz w:val="24"/>
          <w:szCs w:val="24"/>
        </w:rPr>
        <w:t>Doomsday Order</w:t>
      </w:r>
      <w:r w:rsidR="00AD497E" w:rsidRPr="00BD5EE5">
        <w:rPr>
          <w:rFonts w:ascii="Palatino Linotype" w:hAnsi="Palatino Linotype" w:cs="Times New Roman"/>
          <w:sz w:val="24"/>
          <w:szCs w:val="24"/>
        </w:rPr>
        <w:t xml:space="preserve"> based on the parties’ stipulation</w:t>
      </w:r>
      <w:r w:rsidR="005F00D2" w:rsidRPr="00BD5EE5">
        <w:rPr>
          <w:rFonts w:ascii="Palatino Linotype" w:hAnsi="Palatino Linotype" w:cs="Times New Roman"/>
          <w:sz w:val="24"/>
          <w:szCs w:val="24"/>
        </w:rPr>
        <w:t>.</w:t>
      </w:r>
      <w:r w:rsidR="00AE3653">
        <w:rPr>
          <w:rFonts w:ascii="Palatino Linotype" w:hAnsi="Palatino Linotype" w:cs="Times New Roman"/>
          <w:sz w:val="24"/>
          <w:szCs w:val="24"/>
        </w:rPr>
        <w:t xml:space="preserve"> </w:t>
      </w:r>
      <w:r w:rsidR="00231767" w:rsidRPr="00BD5EE5">
        <w:rPr>
          <w:rFonts w:ascii="Palatino Linotype" w:hAnsi="Palatino Linotype" w:cs="Times New Roman"/>
          <w:sz w:val="24"/>
          <w:szCs w:val="24"/>
        </w:rPr>
        <w:t xml:space="preserve"> See Local Form </w:t>
      </w:r>
      <w:r w:rsidR="00801C63">
        <w:rPr>
          <w:rFonts w:ascii="Palatino Linotype" w:hAnsi="Palatino Linotype" w:cs="Times New Roman"/>
          <w:sz w:val="24"/>
          <w:szCs w:val="24"/>
        </w:rPr>
        <w:t>9008</w:t>
      </w:r>
      <w:r w:rsidR="00231767" w:rsidRPr="00BD5EE5">
        <w:rPr>
          <w:rFonts w:ascii="Palatino Linotype" w:hAnsi="Palatino Linotype" w:cs="Times New Roman"/>
          <w:sz w:val="24"/>
          <w:szCs w:val="24"/>
        </w:rPr>
        <w:t xml:space="preserve"> (</w:t>
      </w:r>
      <w:r w:rsidR="00C607CF" w:rsidRPr="00C607CF">
        <w:rPr>
          <w:rFonts w:ascii="Palatino Linotype" w:eastAsia="Calibri" w:hAnsi="Palatino Linotype" w:cs="Times New Roman"/>
          <w:sz w:val="24"/>
          <w:szCs w:val="24"/>
        </w:rPr>
        <w:t>Stipulation and Motion to Amend the Court’s Doomsday Order</w:t>
      </w:r>
      <w:r w:rsidR="00231767" w:rsidRPr="00BD5EE5">
        <w:rPr>
          <w:rFonts w:ascii="Palatino Linotype" w:hAnsi="Palatino Linotype" w:cs="Times New Roman"/>
          <w:sz w:val="24"/>
          <w:szCs w:val="24"/>
        </w:rPr>
        <w:t xml:space="preserve">) </w:t>
      </w:r>
      <w:r w:rsidR="00231767" w:rsidRPr="00BD5EE5">
        <w:rPr>
          <w:rFonts w:ascii="Palatino Linotype" w:hAnsi="Palatino Linotype" w:cs="Times New Roman"/>
          <w:sz w:val="24"/>
          <w:szCs w:val="24"/>
        </w:rPr>
        <w:lastRenderedPageBreak/>
        <w:t xml:space="preserve">and Local Form </w:t>
      </w:r>
      <w:r w:rsidR="00801C63">
        <w:rPr>
          <w:rFonts w:ascii="Palatino Linotype" w:hAnsi="Palatino Linotype" w:cs="Times New Roman"/>
          <w:sz w:val="24"/>
          <w:szCs w:val="24"/>
        </w:rPr>
        <w:t>9008-O</w:t>
      </w:r>
      <w:r w:rsidR="00801C63" w:rsidRPr="00BD5EE5">
        <w:rPr>
          <w:rFonts w:ascii="Palatino Linotype" w:hAnsi="Palatino Linotype" w:cs="Times New Roman"/>
          <w:sz w:val="24"/>
          <w:szCs w:val="24"/>
        </w:rPr>
        <w:t xml:space="preserve"> </w:t>
      </w:r>
      <w:r w:rsidR="00231767" w:rsidRPr="00BD5EE5">
        <w:rPr>
          <w:rFonts w:ascii="Palatino Linotype" w:hAnsi="Palatino Linotype" w:cs="Times New Roman"/>
          <w:sz w:val="24"/>
          <w:szCs w:val="24"/>
        </w:rPr>
        <w:t>(</w:t>
      </w:r>
      <w:r w:rsidR="00C607CF">
        <w:rPr>
          <w:rFonts w:ascii="Palatino Linotype" w:hAnsi="Palatino Linotype" w:cs="Times New Roman"/>
          <w:sz w:val="24"/>
          <w:szCs w:val="24"/>
        </w:rPr>
        <w:t xml:space="preserve">Proposed </w:t>
      </w:r>
      <w:r w:rsidR="00C607CF" w:rsidRPr="00C607CF">
        <w:rPr>
          <w:rFonts w:ascii="Palatino Linotype" w:eastAsia="Calibri" w:hAnsi="Palatino Linotype" w:cs="Times New Roman"/>
          <w:sz w:val="24"/>
          <w:szCs w:val="24"/>
        </w:rPr>
        <w:t>Order Approving Stipulation and Granting Motion to Amend Doomsday Order</w:t>
      </w:r>
      <w:r w:rsidR="00231767" w:rsidRPr="00BD5EE5">
        <w:rPr>
          <w:rFonts w:ascii="Palatino Linotype" w:hAnsi="Palatino Linotype" w:cs="Times New Roman"/>
          <w:sz w:val="24"/>
          <w:szCs w:val="24"/>
        </w:rPr>
        <w:t xml:space="preserve">). </w:t>
      </w:r>
    </w:p>
    <w:p w14:paraId="588DB201" w14:textId="4228EAD7" w:rsidR="00B05071" w:rsidRPr="00C44E42" w:rsidRDefault="005F00D2" w:rsidP="00C44E42">
      <w:pPr>
        <w:pStyle w:val="2Caps25"/>
        <w:numPr>
          <w:ilvl w:val="0"/>
          <w:numId w:val="1"/>
        </w:numPr>
        <w:spacing w:before="120" w:after="120"/>
        <w:ind w:left="1080"/>
        <w:rPr>
          <w:rFonts w:ascii="Palatino Linotype" w:hAnsi="Palatino Linotype" w:cs="Times New Roman"/>
          <w:sz w:val="24"/>
          <w:szCs w:val="24"/>
        </w:rPr>
      </w:pPr>
      <w:r w:rsidRPr="00C44E42">
        <w:rPr>
          <w:rFonts w:ascii="Palatino Linotype" w:hAnsi="Palatino Linotype" w:cs="Times New Roman"/>
          <w:sz w:val="24"/>
          <w:szCs w:val="24"/>
        </w:rPr>
        <w:t xml:space="preserve">If the opposing party will not agree to the amendment, a party may </w:t>
      </w:r>
      <w:r w:rsidR="00B05071" w:rsidRPr="00C44E42">
        <w:rPr>
          <w:rFonts w:ascii="Palatino Linotype" w:hAnsi="Palatino Linotype" w:cs="Times New Roman"/>
          <w:sz w:val="24"/>
          <w:szCs w:val="24"/>
        </w:rPr>
        <w:t>ask the court</w:t>
      </w:r>
      <w:r w:rsidRPr="00C44E42">
        <w:rPr>
          <w:rFonts w:ascii="Palatino Linotype" w:hAnsi="Palatino Linotype" w:cs="Times New Roman"/>
          <w:sz w:val="24"/>
          <w:szCs w:val="24"/>
        </w:rPr>
        <w:t xml:space="preserve"> to amend the terms</w:t>
      </w:r>
      <w:r w:rsidR="00E65FE2" w:rsidRPr="00C44E42">
        <w:rPr>
          <w:rFonts w:ascii="Palatino Linotype" w:hAnsi="Palatino Linotype" w:cs="Times New Roman"/>
          <w:sz w:val="24"/>
          <w:szCs w:val="24"/>
        </w:rPr>
        <w:t xml:space="preserve"> of</w:t>
      </w:r>
      <w:r w:rsidRPr="00C44E42">
        <w:rPr>
          <w:rFonts w:ascii="Palatino Linotype" w:hAnsi="Palatino Linotype" w:cs="Times New Roman"/>
          <w:sz w:val="24"/>
          <w:szCs w:val="24"/>
        </w:rPr>
        <w:t xml:space="preserve"> the Doomsday Order</w:t>
      </w:r>
      <w:r w:rsidR="00E65FE2" w:rsidRPr="00C44E42">
        <w:rPr>
          <w:rFonts w:ascii="Palatino Linotype" w:hAnsi="Palatino Linotype" w:cs="Times New Roman"/>
          <w:sz w:val="24"/>
          <w:szCs w:val="24"/>
        </w:rPr>
        <w:t xml:space="preserve">, including by </w:t>
      </w:r>
      <w:r w:rsidR="0048543B" w:rsidRPr="00C44E42">
        <w:rPr>
          <w:rFonts w:ascii="Palatino Linotype" w:hAnsi="Palatino Linotype" w:cs="Times New Roman"/>
          <w:sz w:val="24"/>
          <w:szCs w:val="24"/>
        </w:rPr>
        <w:t>enlarging</w:t>
      </w:r>
      <w:r w:rsidR="00E65FE2" w:rsidRPr="00C44E42">
        <w:rPr>
          <w:rFonts w:ascii="Palatino Linotype" w:hAnsi="Palatino Linotype" w:cs="Times New Roman"/>
          <w:sz w:val="24"/>
          <w:szCs w:val="24"/>
        </w:rPr>
        <w:t xml:space="preserve"> the deadlines it imposes</w:t>
      </w:r>
      <w:r w:rsidR="00B05071" w:rsidRPr="00C44E42">
        <w:rPr>
          <w:rFonts w:ascii="Palatino Linotype" w:hAnsi="Palatino Linotype" w:cs="Times New Roman"/>
          <w:sz w:val="24"/>
          <w:szCs w:val="24"/>
        </w:rPr>
        <w:t xml:space="preserve">.  Under Bankruptcy Rule 9006(b), a party asking the court to </w:t>
      </w:r>
      <w:r w:rsidR="0048543B" w:rsidRPr="00C44E42">
        <w:rPr>
          <w:rFonts w:ascii="Palatino Linotype" w:hAnsi="Palatino Linotype" w:cs="Times New Roman"/>
          <w:sz w:val="24"/>
          <w:szCs w:val="24"/>
        </w:rPr>
        <w:t xml:space="preserve">enlarge </w:t>
      </w:r>
      <w:r w:rsidR="00B05071" w:rsidRPr="00C44E42">
        <w:rPr>
          <w:rFonts w:ascii="Palatino Linotype" w:hAnsi="Palatino Linotype" w:cs="Times New Roman"/>
          <w:sz w:val="24"/>
          <w:szCs w:val="24"/>
        </w:rPr>
        <w:t>a</w:t>
      </w:r>
      <w:r w:rsidR="00402787" w:rsidRPr="00C44E42">
        <w:rPr>
          <w:rFonts w:ascii="Palatino Linotype" w:hAnsi="Palatino Linotype" w:cs="Times New Roman"/>
          <w:sz w:val="24"/>
          <w:szCs w:val="24"/>
        </w:rPr>
        <w:t>n unexpired</w:t>
      </w:r>
      <w:r w:rsidR="00B05071" w:rsidRPr="00C44E42">
        <w:rPr>
          <w:rFonts w:ascii="Palatino Linotype" w:hAnsi="Palatino Linotype" w:cs="Times New Roman"/>
          <w:sz w:val="24"/>
          <w:szCs w:val="24"/>
        </w:rPr>
        <w:t xml:space="preserve"> deadline set in a Doomsday Order need only show “cause” for the </w:t>
      </w:r>
      <w:r w:rsidR="0048543B" w:rsidRPr="00C44E42">
        <w:rPr>
          <w:rFonts w:ascii="Palatino Linotype" w:hAnsi="Palatino Linotype" w:cs="Times New Roman"/>
          <w:sz w:val="24"/>
          <w:szCs w:val="24"/>
        </w:rPr>
        <w:t>enlargement</w:t>
      </w:r>
      <w:r w:rsidR="00B05071" w:rsidRPr="00C44E42">
        <w:rPr>
          <w:rFonts w:ascii="Palatino Linotype" w:hAnsi="Palatino Linotype" w:cs="Times New Roman"/>
          <w:sz w:val="24"/>
          <w:szCs w:val="24"/>
        </w:rPr>
        <w:t>.</w:t>
      </w:r>
      <w:r w:rsidR="00AE3653" w:rsidRPr="00C44E42">
        <w:rPr>
          <w:rFonts w:ascii="Palatino Linotype" w:hAnsi="Palatino Linotype" w:cs="Times New Roman"/>
          <w:sz w:val="24"/>
          <w:szCs w:val="24"/>
        </w:rPr>
        <w:t xml:space="preserve"> </w:t>
      </w:r>
      <w:r w:rsidR="00B05071" w:rsidRPr="00C44E42">
        <w:rPr>
          <w:rFonts w:ascii="Palatino Linotype" w:hAnsi="Palatino Linotype" w:cs="Times New Roman"/>
          <w:sz w:val="24"/>
          <w:szCs w:val="24"/>
        </w:rPr>
        <w:t xml:space="preserve"> </w:t>
      </w:r>
      <w:r w:rsidR="008B022D" w:rsidRPr="00C44E42">
        <w:rPr>
          <w:rFonts w:ascii="Palatino Linotype" w:hAnsi="Palatino Linotype" w:cs="Times New Roman"/>
          <w:sz w:val="24"/>
          <w:szCs w:val="24"/>
        </w:rPr>
        <w:t xml:space="preserve">The motion must be served on the other parties to the Doomsday Order with notice that objections are due within 7 days and that the failure to object </w:t>
      </w:r>
      <w:r w:rsidR="00E65FE2" w:rsidRPr="00C44E42">
        <w:rPr>
          <w:rFonts w:ascii="Palatino Linotype" w:hAnsi="Palatino Linotype" w:cs="Times New Roman"/>
          <w:sz w:val="24"/>
          <w:szCs w:val="24"/>
        </w:rPr>
        <w:t>may result in the court granting</w:t>
      </w:r>
      <w:r w:rsidR="008B022D" w:rsidRPr="00C44E42">
        <w:rPr>
          <w:rFonts w:ascii="Palatino Linotype" w:hAnsi="Palatino Linotype" w:cs="Times New Roman"/>
          <w:sz w:val="24"/>
          <w:szCs w:val="24"/>
        </w:rPr>
        <w:t xml:space="preserve"> the motion</w:t>
      </w:r>
      <w:bookmarkStart w:id="1" w:name="_Hlk23718979"/>
      <w:r w:rsidR="008B022D" w:rsidRPr="00C44E42">
        <w:rPr>
          <w:rFonts w:ascii="Palatino Linotype" w:hAnsi="Palatino Linotype" w:cs="Times New Roman"/>
          <w:sz w:val="24"/>
          <w:szCs w:val="24"/>
        </w:rPr>
        <w:t>.</w:t>
      </w:r>
      <w:r w:rsidR="004E4F5D" w:rsidRPr="00C44E42">
        <w:rPr>
          <w:rFonts w:ascii="Palatino Linotype" w:hAnsi="Palatino Linotype" w:cs="Times New Roman"/>
          <w:sz w:val="24"/>
          <w:szCs w:val="24"/>
        </w:rPr>
        <w:t xml:space="preserve">  S</w:t>
      </w:r>
      <w:r w:rsidR="00402787" w:rsidRPr="00C44E42">
        <w:rPr>
          <w:rFonts w:ascii="Palatino Linotype" w:hAnsi="Palatino Linotype" w:cs="Times New Roman"/>
          <w:sz w:val="24"/>
          <w:szCs w:val="24"/>
        </w:rPr>
        <w:t xml:space="preserve">ee Local Form </w:t>
      </w:r>
      <w:r w:rsidR="002530E7" w:rsidRPr="00C44E42">
        <w:rPr>
          <w:rFonts w:ascii="Palatino Linotype" w:hAnsi="Palatino Linotype" w:cs="Times New Roman"/>
          <w:sz w:val="24"/>
          <w:szCs w:val="24"/>
        </w:rPr>
        <w:t>9006-A</w:t>
      </w:r>
      <w:r w:rsidR="00402787" w:rsidRPr="00C44E42">
        <w:rPr>
          <w:rFonts w:ascii="Palatino Linotype" w:hAnsi="Palatino Linotype" w:cs="Times New Roman"/>
          <w:sz w:val="24"/>
          <w:szCs w:val="24"/>
        </w:rPr>
        <w:t xml:space="preserve"> (</w:t>
      </w:r>
      <w:r w:rsidR="002530E7" w:rsidRPr="00C44E42">
        <w:rPr>
          <w:rFonts w:ascii="Palatino Linotype" w:eastAsia="Calibri" w:hAnsi="Palatino Linotype" w:cs="Times New Roman"/>
          <w:sz w:val="24"/>
          <w:szCs w:val="24"/>
        </w:rPr>
        <w:t>Notice of Motion and Motion to Modify the Court’s Doomsday Order to Enlarge Time to Comply Before Deadline Expiration</w:t>
      </w:r>
      <w:r w:rsidR="00402787" w:rsidRPr="00C44E42">
        <w:rPr>
          <w:rFonts w:ascii="Palatino Linotype" w:hAnsi="Palatino Linotype" w:cs="Times New Roman"/>
          <w:sz w:val="24"/>
          <w:szCs w:val="24"/>
        </w:rPr>
        <w:t xml:space="preserve">) and Local Form </w:t>
      </w:r>
      <w:r w:rsidR="002530E7" w:rsidRPr="00C44E42">
        <w:rPr>
          <w:rFonts w:ascii="Palatino Linotype" w:hAnsi="Palatino Linotype" w:cs="Times New Roman"/>
          <w:sz w:val="24"/>
          <w:szCs w:val="24"/>
        </w:rPr>
        <w:t>9006-O</w:t>
      </w:r>
      <w:r w:rsidR="00402787" w:rsidRPr="00C44E42">
        <w:rPr>
          <w:rFonts w:ascii="Palatino Linotype" w:hAnsi="Palatino Linotype" w:cs="Times New Roman"/>
          <w:sz w:val="24"/>
          <w:szCs w:val="24"/>
        </w:rPr>
        <w:t xml:space="preserve"> (</w:t>
      </w:r>
      <w:r w:rsidR="002530E7" w:rsidRPr="00C44E42">
        <w:rPr>
          <w:rFonts w:ascii="Palatino Linotype" w:eastAsia="Calibri" w:hAnsi="Palatino Linotype" w:cs="Times New Roman"/>
          <w:sz w:val="24"/>
          <w:szCs w:val="24"/>
        </w:rPr>
        <w:t>Proposed Order Modifying the Court’s Doomsday Order to Enlarge the Time to Comply</w:t>
      </w:r>
      <w:r w:rsidR="00402787" w:rsidRPr="00C44E42">
        <w:rPr>
          <w:rFonts w:ascii="Palatino Linotype" w:hAnsi="Palatino Linotype" w:cs="Times New Roman"/>
          <w:sz w:val="24"/>
          <w:szCs w:val="24"/>
        </w:rPr>
        <w:t xml:space="preserve">). </w:t>
      </w:r>
      <w:r w:rsidR="00625C7A" w:rsidRPr="00C44E42">
        <w:rPr>
          <w:rFonts w:ascii="Palatino Linotype" w:hAnsi="Palatino Linotype" w:cs="Times New Roman"/>
          <w:sz w:val="24"/>
          <w:szCs w:val="24"/>
        </w:rPr>
        <w:t xml:space="preserve"> </w:t>
      </w:r>
      <w:bookmarkEnd w:id="1"/>
    </w:p>
    <w:p w14:paraId="4EF2BB10" w14:textId="3C67BB10" w:rsidR="005F00D2" w:rsidRPr="00A779E9" w:rsidRDefault="00B05071" w:rsidP="00A779E9">
      <w:pPr>
        <w:pStyle w:val="2Caps25"/>
        <w:keepNext/>
        <w:keepLines/>
        <w:spacing w:before="120" w:after="120"/>
        <w:ind w:left="360"/>
        <w:rPr>
          <w:rFonts w:ascii="Palatino Linotype" w:hAnsi="Palatino Linotype" w:cs="Times New Roman"/>
          <w:b/>
          <w:i/>
          <w:sz w:val="24"/>
          <w:szCs w:val="24"/>
        </w:rPr>
      </w:pPr>
      <w:r w:rsidRPr="00A779E9">
        <w:rPr>
          <w:rFonts w:ascii="Palatino Linotype" w:hAnsi="Palatino Linotype" w:cs="Times New Roman"/>
          <w:b/>
          <w:i/>
          <w:sz w:val="24"/>
          <w:szCs w:val="24"/>
        </w:rPr>
        <w:t xml:space="preserve">Filing and Service of </w:t>
      </w:r>
      <w:r w:rsidR="00665DC4">
        <w:rPr>
          <w:rFonts w:ascii="Palatino Linotype" w:hAnsi="Palatino Linotype" w:cs="Times New Roman"/>
          <w:b/>
          <w:i/>
          <w:sz w:val="24"/>
          <w:szCs w:val="24"/>
        </w:rPr>
        <w:t>Evidence</w:t>
      </w:r>
      <w:r w:rsidR="00665DC4" w:rsidRPr="00A779E9">
        <w:rPr>
          <w:rFonts w:ascii="Palatino Linotype" w:hAnsi="Palatino Linotype" w:cs="Times New Roman"/>
          <w:b/>
          <w:i/>
          <w:sz w:val="24"/>
          <w:szCs w:val="24"/>
        </w:rPr>
        <w:t xml:space="preserve"> </w:t>
      </w:r>
      <w:r w:rsidRPr="00A779E9">
        <w:rPr>
          <w:rFonts w:ascii="Palatino Linotype" w:hAnsi="Palatino Linotype" w:cs="Times New Roman"/>
          <w:b/>
          <w:i/>
          <w:sz w:val="24"/>
          <w:szCs w:val="24"/>
        </w:rPr>
        <w:t>of Default under Doomsday Order</w:t>
      </w:r>
    </w:p>
    <w:p w14:paraId="50FF2177" w14:textId="40433BBD" w:rsidR="005F00D2" w:rsidRPr="00A779E9" w:rsidRDefault="005C0F51" w:rsidP="00A779E9">
      <w:pPr>
        <w:pStyle w:val="2Caps25"/>
        <w:keepNext/>
        <w:keepLines/>
        <w:numPr>
          <w:ilvl w:val="0"/>
          <w:numId w:val="1"/>
        </w:numPr>
        <w:spacing w:before="120" w:after="120"/>
        <w:rPr>
          <w:rFonts w:ascii="Palatino Linotype" w:hAnsi="Palatino Linotype" w:cs="Times New Roman"/>
          <w:sz w:val="24"/>
          <w:szCs w:val="24"/>
        </w:rPr>
      </w:pPr>
      <w:r w:rsidRPr="00A779E9">
        <w:rPr>
          <w:rFonts w:ascii="Palatino Linotype" w:hAnsi="Palatino Linotype" w:cs="Times New Roman"/>
          <w:sz w:val="24"/>
          <w:szCs w:val="24"/>
        </w:rPr>
        <w:t xml:space="preserve">A party seeking to </w:t>
      </w:r>
      <w:r w:rsidR="0023248B" w:rsidRPr="00A779E9">
        <w:rPr>
          <w:rFonts w:ascii="Palatino Linotype" w:hAnsi="Palatino Linotype" w:cs="Times New Roman"/>
          <w:sz w:val="24"/>
          <w:szCs w:val="24"/>
        </w:rPr>
        <w:t xml:space="preserve">enforce its right to relief under </w:t>
      </w:r>
      <w:r w:rsidRPr="00A779E9">
        <w:rPr>
          <w:rFonts w:ascii="Palatino Linotype" w:hAnsi="Palatino Linotype" w:cs="Times New Roman"/>
          <w:sz w:val="24"/>
          <w:szCs w:val="24"/>
        </w:rPr>
        <w:t>a Doomsday Order must</w:t>
      </w:r>
      <w:r w:rsidR="000F2333" w:rsidRPr="00A779E9">
        <w:rPr>
          <w:rFonts w:ascii="Palatino Linotype" w:hAnsi="Palatino Linotype" w:cs="Times New Roman"/>
          <w:sz w:val="24"/>
          <w:szCs w:val="24"/>
        </w:rPr>
        <w:t xml:space="preserve"> file </w:t>
      </w:r>
      <w:r w:rsidR="00665DC4">
        <w:rPr>
          <w:rFonts w:ascii="Palatino Linotype" w:hAnsi="Palatino Linotype" w:cs="Times New Roman"/>
          <w:sz w:val="24"/>
          <w:szCs w:val="24"/>
        </w:rPr>
        <w:t>“</w:t>
      </w:r>
      <w:r w:rsidR="000F2333" w:rsidRPr="00A779E9">
        <w:rPr>
          <w:rFonts w:ascii="Palatino Linotype" w:hAnsi="Palatino Linotype" w:cs="Times New Roman"/>
          <w:sz w:val="24"/>
          <w:szCs w:val="24"/>
        </w:rPr>
        <w:t>Evidence of Default,</w:t>
      </w:r>
      <w:r w:rsidR="00665DC4">
        <w:rPr>
          <w:rFonts w:ascii="Palatino Linotype" w:hAnsi="Palatino Linotype" w:cs="Times New Roman"/>
          <w:sz w:val="24"/>
          <w:szCs w:val="24"/>
        </w:rPr>
        <w:t>”</w:t>
      </w:r>
      <w:r w:rsidR="000F2333" w:rsidRPr="00A779E9">
        <w:rPr>
          <w:rFonts w:ascii="Palatino Linotype" w:hAnsi="Palatino Linotype" w:cs="Times New Roman"/>
          <w:sz w:val="24"/>
          <w:szCs w:val="24"/>
        </w:rPr>
        <w:t xml:space="preserve"> often </w:t>
      </w:r>
      <w:r w:rsidR="002C1FCB" w:rsidRPr="00A779E9">
        <w:rPr>
          <w:rFonts w:ascii="Palatino Linotype" w:hAnsi="Palatino Linotype" w:cs="Times New Roman"/>
          <w:sz w:val="24"/>
          <w:szCs w:val="24"/>
        </w:rPr>
        <w:t xml:space="preserve">labeled </w:t>
      </w:r>
      <w:r w:rsidR="000F2333" w:rsidRPr="00A779E9">
        <w:rPr>
          <w:rFonts w:ascii="Palatino Linotype" w:hAnsi="Palatino Linotype" w:cs="Times New Roman"/>
          <w:sz w:val="24"/>
          <w:szCs w:val="24"/>
        </w:rPr>
        <w:t xml:space="preserve">as </w:t>
      </w:r>
      <w:r w:rsidR="002C1FCB" w:rsidRPr="00A779E9">
        <w:rPr>
          <w:rFonts w:ascii="Palatino Linotype" w:hAnsi="Palatino Linotype" w:cs="Times New Roman"/>
          <w:sz w:val="24"/>
          <w:szCs w:val="24"/>
        </w:rPr>
        <w:t>an “Affidavit of Default” or “Certificate of Non-Compliance”</w:t>
      </w:r>
      <w:r w:rsidR="00665DC4">
        <w:rPr>
          <w:rFonts w:ascii="Palatino Linotype" w:hAnsi="Palatino Linotype" w:cs="Times New Roman"/>
          <w:sz w:val="24"/>
          <w:szCs w:val="24"/>
        </w:rPr>
        <w:t xml:space="preserve"> and a proposed order.</w:t>
      </w:r>
      <w:r w:rsidR="004E4F5D">
        <w:rPr>
          <w:rFonts w:ascii="Palatino Linotype" w:hAnsi="Palatino Linotype" w:cs="Times New Roman"/>
          <w:sz w:val="24"/>
          <w:szCs w:val="24"/>
        </w:rPr>
        <w:t xml:space="preserve">  </w:t>
      </w:r>
      <w:r w:rsidRPr="00A779E9">
        <w:rPr>
          <w:rFonts w:ascii="Palatino Linotype" w:hAnsi="Palatino Linotype" w:cs="Times New Roman"/>
          <w:sz w:val="24"/>
          <w:szCs w:val="24"/>
        </w:rPr>
        <w:t xml:space="preserve">The </w:t>
      </w:r>
      <w:r w:rsidR="000F2333" w:rsidRPr="00A779E9">
        <w:rPr>
          <w:rFonts w:ascii="Palatino Linotype" w:hAnsi="Palatino Linotype" w:cs="Times New Roman"/>
          <w:sz w:val="24"/>
          <w:szCs w:val="24"/>
        </w:rPr>
        <w:t xml:space="preserve">party </w:t>
      </w:r>
      <w:r w:rsidRPr="00A779E9">
        <w:rPr>
          <w:rFonts w:ascii="Palatino Linotype" w:hAnsi="Palatino Linotype" w:cs="Times New Roman"/>
          <w:sz w:val="24"/>
          <w:szCs w:val="24"/>
        </w:rPr>
        <w:t>must serve</w:t>
      </w:r>
      <w:r w:rsidR="000F2333" w:rsidRPr="00A779E9">
        <w:rPr>
          <w:rFonts w:ascii="Palatino Linotype" w:hAnsi="Palatino Linotype" w:cs="Times New Roman"/>
          <w:sz w:val="24"/>
          <w:szCs w:val="24"/>
        </w:rPr>
        <w:t xml:space="preserve"> its Evidence of Default </w:t>
      </w:r>
      <w:r w:rsidRPr="00A779E9">
        <w:rPr>
          <w:rFonts w:ascii="Palatino Linotype" w:hAnsi="Palatino Linotype" w:cs="Times New Roman"/>
          <w:sz w:val="24"/>
          <w:szCs w:val="24"/>
        </w:rPr>
        <w:t xml:space="preserve">on all parties </w:t>
      </w:r>
      <w:r w:rsidR="00665DC4">
        <w:rPr>
          <w:rFonts w:ascii="Palatino Linotype" w:hAnsi="Palatino Linotype" w:cs="Times New Roman"/>
          <w:sz w:val="24"/>
          <w:szCs w:val="24"/>
        </w:rPr>
        <w:t>against</w:t>
      </w:r>
      <w:r w:rsidR="00665DC4" w:rsidRPr="00A779E9">
        <w:rPr>
          <w:rFonts w:ascii="Palatino Linotype" w:hAnsi="Palatino Linotype" w:cs="Times New Roman"/>
          <w:sz w:val="24"/>
          <w:szCs w:val="24"/>
        </w:rPr>
        <w:t xml:space="preserve"> </w:t>
      </w:r>
      <w:r w:rsidRPr="00A779E9">
        <w:rPr>
          <w:rFonts w:ascii="Palatino Linotype" w:hAnsi="Palatino Linotype" w:cs="Times New Roman"/>
          <w:sz w:val="24"/>
          <w:szCs w:val="24"/>
        </w:rPr>
        <w:t>whom the party seeks relief before or at the same time the evidence is filed with the court.</w:t>
      </w:r>
    </w:p>
    <w:p w14:paraId="18CD3C00" w14:textId="6F8B5B88" w:rsidR="00665DC4" w:rsidRPr="00A779E9" w:rsidRDefault="00AD497E" w:rsidP="00C44E42">
      <w:pPr>
        <w:pStyle w:val="2Caps25"/>
        <w:keepNext/>
        <w:keepLines/>
        <w:numPr>
          <w:ilvl w:val="0"/>
          <w:numId w:val="1"/>
        </w:numPr>
        <w:spacing w:before="120" w:after="120"/>
        <w:rPr>
          <w:rFonts w:ascii="Palatino Linotype" w:hAnsi="Palatino Linotype" w:cs="Times New Roman"/>
          <w:i/>
          <w:sz w:val="24"/>
          <w:szCs w:val="24"/>
        </w:rPr>
      </w:pPr>
      <w:bookmarkStart w:id="2" w:name="_Hlk20143112"/>
      <w:r w:rsidRPr="00A779E9">
        <w:rPr>
          <w:rFonts w:ascii="Palatino Linotype" w:hAnsi="Palatino Linotype" w:cs="Times New Roman"/>
          <w:sz w:val="24"/>
          <w:szCs w:val="24"/>
        </w:rPr>
        <w:t xml:space="preserve">The court will hold orders granting relief </w:t>
      </w:r>
      <w:r w:rsidR="0023248B" w:rsidRPr="00A779E9">
        <w:rPr>
          <w:rFonts w:ascii="Palatino Linotype" w:hAnsi="Palatino Linotype" w:cs="Times New Roman"/>
          <w:sz w:val="24"/>
          <w:szCs w:val="24"/>
        </w:rPr>
        <w:t xml:space="preserve">under </w:t>
      </w:r>
      <w:r w:rsidRPr="00A779E9">
        <w:rPr>
          <w:rFonts w:ascii="Palatino Linotype" w:hAnsi="Palatino Linotype" w:cs="Times New Roman"/>
          <w:sz w:val="24"/>
          <w:szCs w:val="24"/>
        </w:rPr>
        <w:t xml:space="preserve">a Doomsday Order for a “Holding Period” of seven days to allow the </w:t>
      </w:r>
      <w:r w:rsidR="0023248B" w:rsidRPr="00A779E9">
        <w:rPr>
          <w:rFonts w:ascii="Palatino Linotype" w:hAnsi="Palatino Linotype" w:cs="Times New Roman"/>
          <w:sz w:val="24"/>
          <w:szCs w:val="24"/>
        </w:rPr>
        <w:t xml:space="preserve">opposing </w:t>
      </w:r>
      <w:r w:rsidRPr="00A779E9">
        <w:rPr>
          <w:rFonts w:ascii="Palatino Linotype" w:hAnsi="Palatino Linotype" w:cs="Times New Roman"/>
          <w:sz w:val="24"/>
          <w:szCs w:val="24"/>
        </w:rPr>
        <w:t xml:space="preserve">party </w:t>
      </w:r>
      <w:r w:rsidR="0023248B" w:rsidRPr="00A779E9">
        <w:rPr>
          <w:rFonts w:ascii="Palatino Linotype" w:hAnsi="Palatino Linotype" w:cs="Times New Roman"/>
          <w:sz w:val="24"/>
          <w:szCs w:val="24"/>
        </w:rPr>
        <w:t xml:space="preserve">the </w:t>
      </w:r>
      <w:r w:rsidRPr="00A779E9">
        <w:rPr>
          <w:rFonts w:ascii="Palatino Linotype" w:hAnsi="Palatino Linotype" w:cs="Times New Roman"/>
          <w:sz w:val="24"/>
          <w:szCs w:val="24"/>
        </w:rPr>
        <w:t>chance to show that relief should not be granted.</w:t>
      </w:r>
      <w:r w:rsidR="00A75248" w:rsidRPr="00A779E9">
        <w:rPr>
          <w:rFonts w:ascii="Palatino Linotype" w:hAnsi="Palatino Linotype" w:cs="Times New Roman"/>
          <w:sz w:val="24"/>
          <w:szCs w:val="24"/>
        </w:rPr>
        <w:t xml:space="preserve">  </w:t>
      </w:r>
    </w:p>
    <w:bookmarkEnd w:id="2"/>
    <w:p w14:paraId="14D1AC3E" w14:textId="77777777" w:rsidR="005C0F51" w:rsidRPr="00A779E9" w:rsidRDefault="00AD497E" w:rsidP="005C0F51">
      <w:pPr>
        <w:pStyle w:val="2Caps25"/>
        <w:spacing w:before="120" w:after="120"/>
        <w:ind w:left="360"/>
        <w:rPr>
          <w:rFonts w:ascii="Palatino Linotype" w:hAnsi="Palatino Linotype" w:cs="Times New Roman"/>
          <w:b/>
          <w:i/>
          <w:sz w:val="24"/>
          <w:szCs w:val="24"/>
        </w:rPr>
      </w:pPr>
      <w:r w:rsidRPr="00A779E9">
        <w:rPr>
          <w:rFonts w:ascii="Palatino Linotype" w:hAnsi="Palatino Linotype" w:cs="Times New Roman"/>
          <w:b/>
          <w:i/>
          <w:sz w:val="24"/>
          <w:szCs w:val="24"/>
        </w:rPr>
        <w:t xml:space="preserve">Avoiding Relief </w:t>
      </w:r>
      <w:r w:rsidRPr="00A779E9">
        <w:rPr>
          <w:rFonts w:ascii="Palatino Linotype" w:hAnsi="Palatino Linotype" w:cs="Times New Roman"/>
          <w:b/>
          <w:i/>
          <w:sz w:val="24"/>
          <w:szCs w:val="24"/>
          <w:u w:val="single"/>
        </w:rPr>
        <w:t>After</w:t>
      </w:r>
      <w:r w:rsidRPr="00A779E9">
        <w:rPr>
          <w:rFonts w:ascii="Palatino Linotype" w:hAnsi="Palatino Linotype" w:cs="Times New Roman"/>
          <w:b/>
          <w:i/>
          <w:sz w:val="24"/>
          <w:szCs w:val="24"/>
        </w:rPr>
        <w:t xml:space="preserve"> the Filing of Evidence of Default </w:t>
      </w:r>
    </w:p>
    <w:p w14:paraId="4AC9792D" w14:textId="348F0708" w:rsidR="005F00D2" w:rsidRPr="00A779E9" w:rsidRDefault="00AD497E" w:rsidP="00AD497E">
      <w:pPr>
        <w:pStyle w:val="2Caps25"/>
        <w:numPr>
          <w:ilvl w:val="0"/>
          <w:numId w:val="1"/>
        </w:numPr>
        <w:spacing w:before="120" w:after="120"/>
        <w:rPr>
          <w:rFonts w:ascii="Palatino Linotype" w:hAnsi="Palatino Linotype" w:cs="Times New Roman"/>
          <w:sz w:val="24"/>
          <w:szCs w:val="24"/>
        </w:rPr>
      </w:pPr>
      <w:r w:rsidRPr="00A779E9">
        <w:rPr>
          <w:rFonts w:ascii="Palatino Linotype" w:hAnsi="Palatino Linotype" w:cs="Times New Roman"/>
          <w:sz w:val="24"/>
          <w:szCs w:val="24"/>
        </w:rPr>
        <w:t xml:space="preserve">The court will enter an order granting relief </w:t>
      </w:r>
      <w:r w:rsidR="0023248B" w:rsidRPr="00A779E9">
        <w:rPr>
          <w:rFonts w:ascii="Palatino Linotype" w:hAnsi="Palatino Linotype" w:cs="Times New Roman"/>
          <w:sz w:val="24"/>
          <w:szCs w:val="24"/>
        </w:rPr>
        <w:t xml:space="preserve">under </w:t>
      </w:r>
      <w:r w:rsidRPr="00A779E9">
        <w:rPr>
          <w:rFonts w:ascii="Palatino Linotype" w:hAnsi="Palatino Linotype" w:cs="Times New Roman"/>
          <w:sz w:val="24"/>
          <w:szCs w:val="24"/>
        </w:rPr>
        <w:t xml:space="preserve">a Doomsday Order without further notice or hearing, unless </w:t>
      </w:r>
      <w:r w:rsidR="007A5422" w:rsidRPr="00A779E9">
        <w:rPr>
          <w:rFonts w:ascii="Palatino Linotype" w:hAnsi="Palatino Linotype" w:cs="Times New Roman"/>
          <w:sz w:val="24"/>
          <w:szCs w:val="24"/>
        </w:rPr>
        <w:t xml:space="preserve">the party requesting relief withdraws that request or </w:t>
      </w:r>
      <w:r w:rsidRPr="00A779E9">
        <w:rPr>
          <w:rFonts w:ascii="Palatino Linotype" w:hAnsi="Palatino Linotype" w:cs="Times New Roman"/>
          <w:sz w:val="24"/>
          <w:szCs w:val="24"/>
        </w:rPr>
        <w:t xml:space="preserve">the party against whom relief is sought </w:t>
      </w:r>
      <w:r w:rsidR="007A5422" w:rsidRPr="00A779E9">
        <w:rPr>
          <w:rFonts w:ascii="Palatino Linotype" w:hAnsi="Palatino Linotype" w:cs="Times New Roman"/>
          <w:sz w:val="24"/>
          <w:szCs w:val="24"/>
        </w:rPr>
        <w:t>timely moves to (1) dispute the alleged default or (2) amend the terms of the Doomsday Order</w:t>
      </w:r>
      <w:r w:rsidR="00E65FE2">
        <w:rPr>
          <w:rFonts w:ascii="Palatino Linotype" w:hAnsi="Palatino Linotype" w:cs="Times New Roman"/>
          <w:sz w:val="24"/>
          <w:szCs w:val="24"/>
        </w:rPr>
        <w:t xml:space="preserve">, including by </w:t>
      </w:r>
      <w:r w:rsidR="00402787">
        <w:rPr>
          <w:rFonts w:ascii="Palatino Linotype" w:hAnsi="Palatino Linotype" w:cs="Times New Roman"/>
          <w:sz w:val="24"/>
          <w:szCs w:val="24"/>
        </w:rPr>
        <w:t>enlarging</w:t>
      </w:r>
      <w:r w:rsidR="00E65FE2">
        <w:rPr>
          <w:rFonts w:ascii="Palatino Linotype" w:hAnsi="Palatino Linotype" w:cs="Times New Roman"/>
          <w:sz w:val="24"/>
          <w:szCs w:val="24"/>
        </w:rPr>
        <w:t xml:space="preserve"> the deadlines it imposes</w:t>
      </w:r>
      <w:r w:rsidR="007A5422" w:rsidRPr="00A779E9">
        <w:rPr>
          <w:rFonts w:ascii="Palatino Linotype" w:hAnsi="Palatino Linotype" w:cs="Times New Roman"/>
          <w:sz w:val="24"/>
          <w:szCs w:val="24"/>
        </w:rPr>
        <w:t>.</w:t>
      </w:r>
      <w:r w:rsidR="004E4F5D">
        <w:rPr>
          <w:rFonts w:ascii="Palatino Linotype" w:hAnsi="Palatino Linotype" w:cs="Times New Roman"/>
          <w:sz w:val="24"/>
          <w:szCs w:val="24"/>
        </w:rPr>
        <w:t xml:space="preserve">  </w:t>
      </w:r>
      <w:r w:rsidR="00626CFC" w:rsidRPr="00A779E9">
        <w:rPr>
          <w:rFonts w:ascii="Palatino Linotype" w:hAnsi="Palatino Linotype" w:cs="Times New Roman"/>
          <w:sz w:val="24"/>
          <w:szCs w:val="24"/>
        </w:rPr>
        <w:t>The court will no longer consider “Objections” to an opposing party’s Evidence of Default and may either summarily overrule or treat them as being without effect.</w:t>
      </w:r>
    </w:p>
    <w:p w14:paraId="2E3A8519" w14:textId="77777777" w:rsidR="007A5422" w:rsidRPr="00A779E9" w:rsidRDefault="002C1FCB" w:rsidP="002C1FCB">
      <w:pPr>
        <w:pStyle w:val="2Caps25"/>
        <w:spacing w:before="120" w:after="120"/>
        <w:ind w:left="720"/>
        <w:rPr>
          <w:rFonts w:ascii="Palatino Linotype" w:hAnsi="Palatino Linotype" w:cs="Times New Roman"/>
          <w:b/>
          <w:i/>
          <w:sz w:val="24"/>
          <w:szCs w:val="24"/>
        </w:rPr>
      </w:pPr>
      <w:r w:rsidRPr="00A779E9">
        <w:rPr>
          <w:rFonts w:ascii="Palatino Linotype" w:hAnsi="Palatino Linotype" w:cs="Times New Roman"/>
          <w:b/>
          <w:i/>
          <w:sz w:val="24"/>
          <w:szCs w:val="24"/>
        </w:rPr>
        <w:t>Disputing a Default</w:t>
      </w:r>
    </w:p>
    <w:p w14:paraId="4B6B38A0" w14:textId="09B366D3" w:rsidR="008B022D" w:rsidRDefault="002C1FCB" w:rsidP="000F2333">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 xml:space="preserve">If a party believes there has been no default, the </w:t>
      </w:r>
      <w:r w:rsidR="0023248B" w:rsidRPr="00A779E9">
        <w:rPr>
          <w:rFonts w:ascii="Palatino Linotype" w:hAnsi="Palatino Linotype" w:cs="Times New Roman"/>
          <w:sz w:val="24"/>
          <w:szCs w:val="24"/>
        </w:rPr>
        <w:t xml:space="preserve">party’s </w:t>
      </w:r>
      <w:r w:rsidR="007A5422" w:rsidRPr="00A779E9">
        <w:rPr>
          <w:rFonts w:ascii="Palatino Linotype" w:hAnsi="Palatino Linotype" w:cs="Times New Roman"/>
          <w:sz w:val="24"/>
          <w:szCs w:val="24"/>
        </w:rPr>
        <w:t>first recourse should be to contact the party that file</w:t>
      </w:r>
      <w:r w:rsidRPr="00A779E9">
        <w:rPr>
          <w:rFonts w:ascii="Palatino Linotype" w:hAnsi="Palatino Linotype" w:cs="Times New Roman"/>
          <w:sz w:val="24"/>
          <w:szCs w:val="24"/>
        </w:rPr>
        <w:t xml:space="preserve">d the </w:t>
      </w:r>
      <w:r w:rsidR="000F2333" w:rsidRPr="00A779E9">
        <w:rPr>
          <w:rFonts w:ascii="Palatino Linotype" w:hAnsi="Palatino Linotype" w:cs="Times New Roman"/>
          <w:sz w:val="24"/>
          <w:szCs w:val="24"/>
        </w:rPr>
        <w:t>E</w:t>
      </w:r>
      <w:r w:rsidRPr="00A779E9">
        <w:rPr>
          <w:rFonts w:ascii="Palatino Linotype" w:hAnsi="Palatino Linotype" w:cs="Times New Roman"/>
          <w:sz w:val="24"/>
          <w:szCs w:val="24"/>
        </w:rPr>
        <w:t xml:space="preserve">vidence of </w:t>
      </w:r>
      <w:r w:rsidR="000F2333" w:rsidRPr="00A779E9">
        <w:rPr>
          <w:rFonts w:ascii="Palatino Linotype" w:hAnsi="Palatino Linotype" w:cs="Times New Roman"/>
          <w:sz w:val="24"/>
          <w:szCs w:val="24"/>
        </w:rPr>
        <w:t>Default</w:t>
      </w:r>
      <w:r w:rsidRPr="00A779E9">
        <w:rPr>
          <w:rFonts w:ascii="Palatino Linotype" w:hAnsi="Palatino Linotype" w:cs="Times New Roman"/>
          <w:sz w:val="24"/>
          <w:szCs w:val="24"/>
        </w:rPr>
        <w:t xml:space="preserve">. </w:t>
      </w:r>
      <w:r w:rsidR="004E4F5D">
        <w:rPr>
          <w:rFonts w:ascii="Palatino Linotype" w:hAnsi="Palatino Linotype" w:cs="Times New Roman"/>
          <w:sz w:val="24"/>
          <w:szCs w:val="24"/>
        </w:rPr>
        <w:t xml:space="preserve"> </w:t>
      </w:r>
      <w:r w:rsidRPr="00A779E9">
        <w:rPr>
          <w:rFonts w:ascii="Palatino Linotype" w:hAnsi="Palatino Linotype" w:cs="Times New Roman"/>
          <w:sz w:val="24"/>
          <w:szCs w:val="24"/>
        </w:rPr>
        <w:t xml:space="preserve">If the </w:t>
      </w:r>
      <w:r w:rsidR="000F2333" w:rsidRPr="00A779E9">
        <w:rPr>
          <w:rFonts w:ascii="Palatino Linotype" w:hAnsi="Palatino Linotype" w:cs="Times New Roman"/>
          <w:sz w:val="24"/>
          <w:szCs w:val="24"/>
        </w:rPr>
        <w:t xml:space="preserve">Evidence of Default </w:t>
      </w:r>
      <w:r w:rsidRPr="00A779E9">
        <w:rPr>
          <w:rFonts w:ascii="Palatino Linotype" w:hAnsi="Palatino Linotype" w:cs="Times New Roman"/>
          <w:sz w:val="24"/>
          <w:szCs w:val="24"/>
        </w:rPr>
        <w:t xml:space="preserve">is withdrawn before the expiration of the Holding Period, the court will take no further action.  </w:t>
      </w:r>
    </w:p>
    <w:p w14:paraId="1610CA14" w14:textId="5ACBAE8A" w:rsidR="002C1FCB" w:rsidRPr="00C1724A" w:rsidRDefault="002C1FCB" w:rsidP="000F2333">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lastRenderedPageBreak/>
        <w:t xml:space="preserve">If the parties need more time to confirm whether a default has occurred, they may file a joint request to </w:t>
      </w:r>
      <w:r w:rsidR="0048543B">
        <w:rPr>
          <w:rFonts w:ascii="Palatino Linotype" w:hAnsi="Palatino Linotype" w:cs="Times New Roman"/>
          <w:sz w:val="24"/>
          <w:szCs w:val="24"/>
        </w:rPr>
        <w:t>enlarge</w:t>
      </w:r>
      <w:r w:rsidR="0048543B" w:rsidRPr="00A779E9">
        <w:rPr>
          <w:rFonts w:ascii="Palatino Linotype" w:hAnsi="Palatino Linotype" w:cs="Times New Roman"/>
          <w:sz w:val="24"/>
          <w:szCs w:val="24"/>
        </w:rPr>
        <w:t xml:space="preserve"> </w:t>
      </w:r>
      <w:r w:rsidRPr="00A779E9">
        <w:rPr>
          <w:rFonts w:ascii="Palatino Linotype" w:hAnsi="Palatino Linotype" w:cs="Times New Roman"/>
          <w:sz w:val="24"/>
          <w:szCs w:val="24"/>
        </w:rPr>
        <w:t>the Holding Period for a specific period.</w:t>
      </w:r>
      <w:r w:rsidR="004E4F5D">
        <w:rPr>
          <w:rFonts w:ascii="Palatino Linotype" w:hAnsi="Palatino Linotype" w:cs="Times New Roman"/>
          <w:sz w:val="24"/>
          <w:szCs w:val="24"/>
        </w:rPr>
        <w:t xml:space="preserve">  </w:t>
      </w:r>
      <w:r w:rsidRPr="00A779E9">
        <w:rPr>
          <w:rFonts w:ascii="Palatino Linotype" w:hAnsi="Palatino Linotype" w:cs="Times New Roman"/>
          <w:sz w:val="24"/>
          <w:szCs w:val="24"/>
        </w:rPr>
        <w:t xml:space="preserve">The court ordinarily </w:t>
      </w:r>
      <w:r w:rsidR="00472431">
        <w:rPr>
          <w:rFonts w:ascii="Palatino Linotype" w:hAnsi="Palatino Linotype" w:cs="Times New Roman"/>
          <w:sz w:val="24"/>
          <w:szCs w:val="24"/>
        </w:rPr>
        <w:t xml:space="preserve">will </w:t>
      </w:r>
      <w:r w:rsidR="0048543B">
        <w:rPr>
          <w:rFonts w:ascii="Palatino Linotype" w:hAnsi="Palatino Linotype" w:cs="Times New Roman"/>
          <w:sz w:val="24"/>
          <w:szCs w:val="24"/>
        </w:rPr>
        <w:t>enlarge</w:t>
      </w:r>
      <w:r w:rsidR="0048543B" w:rsidRPr="00A779E9">
        <w:rPr>
          <w:rFonts w:ascii="Palatino Linotype" w:hAnsi="Palatino Linotype" w:cs="Times New Roman"/>
          <w:sz w:val="24"/>
          <w:szCs w:val="24"/>
        </w:rPr>
        <w:t xml:space="preserve"> </w:t>
      </w:r>
      <w:r w:rsidRPr="00A779E9">
        <w:rPr>
          <w:rFonts w:ascii="Palatino Linotype" w:hAnsi="Palatino Linotype" w:cs="Times New Roman"/>
          <w:sz w:val="24"/>
          <w:szCs w:val="24"/>
        </w:rPr>
        <w:t xml:space="preserve">the Holding Period for a brief period if </w:t>
      </w:r>
      <w:r w:rsidRPr="00C1724A">
        <w:rPr>
          <w:rFonts w:ascii="Palatino Linotype" w:hAnsi="Palatino Linotype" w:cs="Times New Roman"/>
          <w:sz w:val="24"/>
          <w:szCs w:val="24"/>
        </w:rPr>
        <w:t>jointly request</w:t>
      </w:r>
      <w:r w:rsidR="0023248B" w:rsidRPr="00C1724A">
        <w:rPr>
          <w:rFonts w:ascii="Palatino Linotype" w:hAnsi="Palatino Linotype" w:cs="Times New Roman"/>
          <w:sz w:val="24"/>
          <w:szCs w:val="24"/>
        </w:rPr>
        <w:t>ed</w:t>
      </w:r>
      <w:r w:rsidRPr="00C1724A">
        <w:rPr>
          <w:rFonts w:ascii="Palatino Linotype" w:hAnsi="Palatino Linotype" w:cs="Times New Roman"/>
          <w:sz w:val="24"/>
          <w:szCs w:val="24"/>
        </w:rPr>
        <w:t>.</w:t>
      </w:r>
      <w:r w:rsidR="001D6EE5" w:rsidRPr="00C1724A">
        <w:rPr>
          <w:rFonts w:ascii="Palatino Linotype" w:hAnsi="Palatino Linotype" w:cs="Times New Roman"/>
          <w:sz w:val="24"/>
          <w:szCs w:val="24"/>
        </w:rPr>
        <w:t xml:space="preserve"> </w:t>
      </w:r>
      <w:r w:rsidR="00625C7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 xml:space="preserve">See Local Form </w:t>
      </w:r>
      <w:r w:rsidR="00DF5231">
        <w:rPr>
          <w:rFonts w:ascii="Palatino Linotype" w:hAnsi="Palatino Linotype" w:cs="Times New Roman"/>
          <w:sz w:val="24"/>
          <w:szCs w:val="24"/>
        </w:rPr>
        <w:t>9007</w:t>
      </w:r>
      <w:r w:rsidR="00DF5231" w:rsidRPr="00C1724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(Joint Request to Enlarge Holding Period</w:t>
      </w:r>
      <w:r w:rsidR="00DF5231" w:rsidRPr="00DF5231">
        <w:rPr>
          <w:rFonts w:ascii="Palatino Linotype" w:eastAsia="Calibri" w:hAnsi="Palatino Linotype" w:cs="Times New Roman"/>
          <w:sz w:val="24"/>
          <w:szCs w:val="24"/>
        </w:rPr>
        <w:t xml:space="preserve"> Before Entry of Order on Evidence of Default</w:t>
      </w:r>
      <w:r w:rsidR="001D6EE5" w:rsidRPr="00C1724A">
        <w:rPr>
          <w:rFonts w:ascii="Palatino Linotype" w:hAnsi="Palatino Linotype" w:cs="Times New Roman"/>
          <w:sz w:val="24"/>
          <w:szCs w:val="24"/>
        </w:rPr>
        <w:t xml:space="preserve">). </w:t>
      </w:r>
    </w:p>
    <w:p w14:paraId="2F24D233" w14:textId="4B9A79D1" w:rsidR="0041184E" w:rsidRPr="00C1724A" w:rsidRDefault="002C1FCB" w:rsidP="00C44E42">
      <w:pPr>
        <w:pStyle w:val="2Caps25"/>
        <w:numPr>
          <w:ilvl w:val="0"/>
          <w:numId w:val="1"/>
        </w:numPr>
        <w:spacing w:before="120" w:after="120"/>
        <w:ind w:left="1080"/>
        <w:rPr>
          <w:rFonts w:ascii="Palatino Linotype" w:hAnsi="Palatino Linotype" w:cs="Times New Roman"/>
          <w:sz w:val="24"/>
          <w:szCs w:val="24"/>
        </w:rPr>
      </w:pPr>
      <w:r w:rsidRPr="00C1724A">
        <w:rPr>
          <w:rFonts w:ascii="Palatino Linotype" w:hAnsi="Palatino Linotype" w:cs="Times New Roman"/>
          <w:sz w:val="24"/>
          <w:szCs w:val="24"/>
        </w:rPr>
        <w:t xml:space="preserve">If the opposing party will not agree to withdraw </w:t>
      </w:r>
      <w:r w:rsidR="000F2333" w:rsidRPr="00C1724A">
        <w:rPr>
          <w:rFonts w:ascii="Palatino Linotype" w:hAnsi="Palatino Linotype" w:cs="Times New Roman"/>
          <w:sz w:val="24"/>
          <w:szCs w:val="24"/>
        </w:rPr>
        <w:t xml:space="preserve">its Evidence of Default, </w:t>
      </w:r>
      <w:r w:rsidR="005046E9" w:rsidRPr="00C1724A">
        <w:rPr>
          <w:rFonts w:ascii="Palatino Linotype" w:hAnsi="Palatino Linotype" w:cs="Times New Roman"/>
          <w:sz w:val="24"/>
          <w:szCs w:val="24"/>
        </w:rPr>
        <w:t>a</w:t>
      </w:r>
      <w:r w:rsidR="000F2333" w:rsidRPr="00C1724A">
        <w:rPr>
          <w:rFonts w:ascii="Palatino Linotype" w:hAnsi="Palatino Linotype" w:cs="Times New Roman"/>
          <w:sz w:val="24"/>
          <w:szCs w:val="24"/>
        </w:rPr>
        <w:t xml:space="preserve"> party may file a Motion to Strike.</w:t>
      </w:r>
      <w:r w:rsidR="004E4F5D">
        <w:rPr>
          <w:rFonts w:ascii="Palatino Linotype" w:hAnsi="Palatino Linotype" w:cs="Times New Roman"/>
          <w:sz w:val="24"/>
          <w:szCs w:val="24"/>
        </w:rPr>
        <w:t xml:space="preserve">  </w:t>
      </w:r>
      <w:r w:rsidR="00626CFC" w:rsidRPr="00C1724A">
        <w:rPr>
          <w:rFonts w:ascii="Palatino Linotype" w:hAnsi="Palatino Linotype" w:cs="Times New Roman"/>
          <w:sz w:val="24"/>
          <w:szCs w:val="24"/>
        </w:rPr>
        <w:t xml:space="preserve">A Motion to Strike must state specific facts establishing that the opposing party’s Evidence of Default is materially false. The motion must be served on the party that filed the Evidence of Default with notice that objections are due within 7 days and that the failure to object </w:t>
      </w:r>
      <w:r w:rsidR="0041184E" w:rsidRPr="00C1724A">
        <w:rPr>
          <w:rFonts w:ascii="Palatino Linotype" w:hAnsi="Palatino Linotype" w:cs="Times New Roman"/>
          <w:sz w:val="24"/>
          <w:szCs w:val="24"/>
        </w:rPr>
        <w:t>may result in the court granting</w:t>
      </w:r>
      <w:r w:rsidR="00626CFC" w:rsidRPr="00C1724A">
        <w:rPr>
          <w:rFonts w:ascii="Palatino Linotype" w:hAnsi="Palatino Linotype" w:cs="Times New Roman"/>
          <w:sz w:val="24"/>
          <w:szCs w:val="24"/>
        </w:rPr>
        <w:t xml:space="preserve"> the motion.</w:t>
      </w:r>
      <w:r w:rsidR="002E7913" w:rsidRPr="00C1724A">
        <w:rPr>
          <w:rFonts w:ascii="Palatino Linotype" w:hAnsi="Palatino Linotype" w:cs="Times New Roman"/>
          <w:sz w:val="24"/>
          <w:szCs w:val="24"/>
        </w:rPr>
        <w:t xml:space="preserve"> </w:t>
      </w:r>
      <w:r w:rsidR="004E4F5D">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 xml:space="preserve">See Local Form </w:t>
      </w:r>
      <w:r w:rsidR="00733A0E">
        <w:rPr>
          <w:rFonts w:ascii="Palatino Linotype" w:hAnsi="Palatino Linotype" w:cs="Times New Roman"/>
          <w:sz w:val="24"/>
          <w:szCs w:val="24"/>
        </w:rPr>
        <w:t>9002</w:t>
      </w:r>
      <w:r w:rsidR="00733A0E" w:rsidRPr="00C1724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w:t>
      </w:r>
      <w:r w:rsidR="00733A0E" w:rsidRPr="00733A0E">
        <w:rPr>
          <w:rFonts w:ascii="Palatino Linotype" w:eastAsia="Calibri" w:hAnsi="Palatino Linotype" w:cs="Times New Roman"/>
          <w:sz w:val="24"/>
          <w:szCs w:val="24"/>
        </w:rPr>
        <w:t>Notice of Motion and Motion to Strike Evidence of Default</w:t>
      </w:r>
      <w:r w:rsidR="001D6EE5" w:rsidRPr="00C1724A">
        <w:rPr>
          <w:rFonts w:ascii="Palatino Linotype" w:hAnsi="Palatino Linotype" w:cs="Times New Roman"/>
          <w:sz w:val="24"/>
          <w:szCs w:val="24"/>
        </w:rPr>
        <w:t xml:space="preserve">) and Local Form </w:t>
      </w:r>
      <w:r w:rsidR="00733A0E">
        <w:rPr>
          <w:rFonts w:ascii="Palatino Linotype" w:hAnsi="Palatino Linotype" w:cs="Times New Roman"/>
          <w:sz w:val="24"/>
          <w:szCs w:val="24"/>
        </w:rPr>
        <w:t>9002-O</w:t>
      </w:r>
      <w:r w:rsidR="00733A0E" w:rsidRPr="00C1724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w:t>
      </w:r>
      <w:r w:rsidR="00733A0E" w:rsidRPr="00733A0E">
        <w:rPr>
          <w:rFonts w:ascii="Palatino Linotype" w:eastAsia="Calibri" w:hAnsi="Palatino Linotype" w:cs="Times New Roman"/>
          <w:sz w:val="24"/>
          <w:szCs w:val="24"/>
        </w:rPr>
        <w:t>Proposed Order Granting Motion to Strike Evidence of Default</w:t>
      </w:r>
      <w:r w:rsidR="001D6EE5" w:rsidRPr="00C1724A">
        <w:rPr>
          <w:rFonts w:ascii="Palatino Linotype" w:hAnsi="Palatino Linotype" w:cs="Times New Roman"/>
          <w:sz w:val="24"/>
          <w:szCs w:val="24"/>
        </w:rPr>
        <w:t xml:space="preserve">). </w:t>
      </w:r>
      <w:r w:rsidR="004E4F5D">
        <w:rPr>
          <w:rFonts w:ascii="Palatino Linotype" w:hAnsi="Palatino Linotype" w:cs="Times New Roman"/>
          <w:sz w:val="24"/>
          <w:szCs w:val="24"/>
        </w:rPr>
        <w:t xml:space="preserve"> </w:t>
      </w:r>
    </w:p>
    <w:p w14:paraId="1D252B5F" w14:textId="35448740" w:rsidR="00626CFC" w:rsidRPr="00A779E9" w:rsidRDefault="002E7913" w:rsidP="00626CFC">
      <w:pPr>
        <w:pStyle w:val="2Caps25"/>
        <w:numPr>
          <w:ilvl w:val="0"/>
          <w:numId w:val="1"/>
        </w:numPr>
        <w:spacing w:before="120" w:after="120"/>
        <w:ind w:left="1440"/>
        <w:rPr>
          <w:rFonts w:ascii="Palatino Linotype" w:hAnsi="Palatino Linotype" w:cs="Times New Roman"/>
          <w:sz w:val="24"/>
          <w:szCs w:val="24"/>
        </w:rPr>
      </w:pPr>
      <w:r>
        <w:rPr>
          <w:rFonts w:ascii="Palatino Linotype" w:hAnsi="Palatino Linotype" w:cs="Times New Roman"/>
          <w:sz w:val="24"/>
          <w:szCs w:val="24"/>
        </w:rPr>
        <w:t xml:space="preserve">A debtor may file a motion to strike </w:t>
      </w:r>
      <w:r w:rsidR="00472431">
        <w:rPr>
          <w:rFonts w:ascii="Palatino Linotype" w:hAnsi="Palatino Linotype" w:cs="Times New Roman"/>
          <w:sz w:val="24"/>
          <w:szCs w:val="24"/>
        </w:rPr>
        <w:t xml:space="preserve">only </w:t>
      </w:r>
      <w:r>
        <w:rPr>
          <w:rFonts w:ascii="Palatino Linotype" w:hAnsi="Palatino Linotype" w:cs="Times New Roman"/>
          <w:sz w:val="24"/>
          <w:szCs w:val="24"/>
        </w:rPr>
        <w:t xml:space="preserve">if the party </w:t>
      </w:r>
      <w:r w:rsidR="0048543B">
        <w:rPr>
          <w:rFonts w:ascii="Palatino Linotype" w:hAnsi="Palatino Linotype" w:cs="Times New Roman"/>
          <w:sz w:val="24"/>
          <w:szCs w:val="24"/>
        </w:rPr>
        <w:t>can prove that</w:t>
      </w:r>
      <w:r>
        <w:rPr>
          <w:rFonts w:ascii="Palatino Linotype" w:hAnsi="Palatino Linotype" w:cs="Times New Roman"/>
          <w:sz w:val="24"/>
          <w:szCs w:val="24"/>
        </w:rPr>
        <w:t xml:space="preserve"> there has not been a default. </w:t>
      </w:r>
    </w:p>
    <w:p w14:paraId="35FDA7A4" w14:textId="77777777" w:rsidR="000F2333" w:rsidRPr="00A779E9" w:rsidRDefault="000F2333" w:rsidP="000F2333">
      <w:pPr>
        <w:pStyle w:val="2Caps25"/>
        <w:spacing w:before="120" w:after="120"/>
        <w:ind w:left="720"/>
        <w:rPr>
          <w:rFonts w:ascii="Palatino Linotype" w:hAnsi="Palatino Linotype" w:cs="Times New Roman"/>
          <w:b/>
          <w:i/>
          <w:sz w:val="24"/>
          <w:szCs w:val="24"/>
        </w:rPr>
      </w:pPr>
      <w:r w:rsidRPr="00A779E9">
        <w:rPr>
          <w:rFonts w:ascii="Palatino Linotype" w:hAnsi="Palatino Linotype" w:cs="Times New Roman"/>
          <w:b/>
          <w:i/>
          <w:sz w:val="24"/>
          <w:szCs w:val="24"/>
        </w:rPr>
        <w:t>Curing or Excusing a Default</w:t>
      </w:r>
      <w:r w:rsidR="005046E9" w:rsidRPr="00A779E9">
        <w:rPr>
          <w:rFonts w:ascii="Palatino Linotype" w:hAnsi="Palatino Linotype" w:cs="Times New Roman"/>
          <w:b/>
          <w:i/>
          <w:sz w:val="24"/>
          <w:szCs w:val="24"/>
        </w:rPr>
        <w:t xml:space="preserve"> by Consent or Motion</w:t>
      </w:r>
    </w:p>
    <w:p w14:paraId="36FF519C" w14:textId="03D4470D" w:rsidR="002E7913" w:rsidRPr="00C1724A" w:rsidRDefault="000F2333" w:rsidP="000F2333">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 xml:space="preserve">If a party believes its default on the terms of </w:t>
      </w:r>
      <w:r w:rsidR="00472431">
        <w:rPr>
          <w:rFonts w:ascii="Palatino Linotype" w:hAnsi="Palatino Linotype" w:cs="Times New Roman"/>
          <w:sz w:val="24"/>
          <w:szCs w:val="24"/>
        </w:rPr>
        <w:t xml:space="preserve">a </w:t>
      </w:r>
      <w:r w:rsidRPr="00A779E9">
        <w:rPr>
          <w:rFonts w:ascii="Palatino Linotype" w:hAnsi="Palatino Linotype" w:cs="Times New Roman"/>
          <w:sz w:val="24"/>
          <w:szCs w:val="24"/>
        </w:rPr>
        <w:t xml:space="preserve">Doomsday Order should not result in the granting of relief, the party’s first recourse should be to contact the opposing party to request the withdrawal of the Evidence of Default. </w:t>
      </w:r>
      <w:r w:rsidR="004E4F5D">
        <w:rPr>
          <w:rFonts w:ascii="Palatino Linotype" w:hAnsi="Palatino Linotype" w:cs="Times New Roman"/>
          <w:sz w:val="24"/>
          <w:szCs w:val="24"/>
        </w:rPr>
        <w:t xml:space="preserve"> </w:t>
      </w:r>
      <w:r w:rsidRPr="00A779E9">
        <w:rPr>
          <w:rFonts w:ascii="Palatino Linotype" w:hAnsi="Palatino Linotype" w:cs="Times New Roman"/>
          <w:sz w:val="24"/>
          <w:szCs w:val="24"/>
        </w:rPr>
        <w:t xml:space="preserve">If the </w:t>
      </w:r>
      <w:r w:rsidR="00665DC4">
        <w:rPr>
          <w:rFonts w:ascii="Palatino Linotype" w:hAnsi="Palatino Linotype" w:cs="Times New Roman"/>
          <w:sz w:val="24"/>
          <w:szCs w:val="24"/>
        </w:rPr>
        <w:t xml:space="preserve">Evidence of Default </w:t>
      </w:r>
      <w:r w:rsidRPr="00A779E9">
        <w:rPr>
          <w:rFonts w:ascii="Palatino Linotype" w:hAnsi="Palatino Linotype" w:cs="Times New Roman"/>
          <w:sz w:val="24"/>
          <w:szCs w:val="24"/>
        </w:rPr>
        <w:t xml:space="preserve">is withdrawn before the expiration of the Holding </w:t>
      </w:r>
      <w:r w:rsidRPr="00C1724A">
        <w:rPr>
          <w:rFonts w:ascii="Palatino Linotype" w:hAnsi="Palatino Linotype" w:cs="Times New Roman"/>
          <w:sz w:val="24"/>
          <w:szCs w:val="24"/>
        </w:rPr>
        <w:t xml:space="preserve">Period, the court will take no further action.  </w:t>
      </w:r>
    </w:p>
    <w:p w14:paraId="6EE6E7DE" w14:textId="0E00F55D" w:rsidR="001D6EE5" w:rsidRPr="00C1724A" w:rsidRDefault="000F2333" w:rsidP="001D6EE5">
      <w:pPr>
        <w:pStyle w:val="2Caps25"/>
        <w:numPr>
          <w:ilvl w:val="0"/>
          <w:numId w:val="1"/>
        </w:numPr>
        <w:spacing w:before="120" w:after="120"/>
        <w:ind w:left="1080"/>
        <w:rPr>
          <w:rFonts w:ascii="Palatino Linotype" w:hAnsi="Palatino Linotype" w:cs="Times New Roman"/>
          <w:sz w:val="24"/>
          <w:szCs w:val="24"/>
        </w:rPr>
      </w:pPr>
      <w:r w:rsidRPr="00C1724A">
        <w:rPr>
          <w:rFonts w:ascii="Palatino Linotype" w:hAnsi="Palatino Linotype" w:cs="Times New Roman"/>
          <w:sz w:val="24"/>
          <w:szCs w:val="24"/>
        </w:rPr>
        <w:t xml:space="preserve">The parties also </w:t>
      </w:r>
      <w:r w:rsidR="00472431" w:rsidRPr="00C1724A">
        <w:rPr>
          <w:rFonts w:ascii="Palatino Linotype" w:hAnsi="Palatino Linotype" w:cs="Times New Roman"/>
          <w:sz w:val="24"/>
          <w:szCs w:val="24"/>
        </w:rPr>
        <w:t xml:space="preserve">may </w:t>
      </w:r>
      <w:r w:rsidRPr="00C1724A">
        <w:rPr>
          <w:rFonts w:ascii="Palatino Linotype" w:hAnsi="Palatino Linotype" w:cs="Times New Roman"/>
          <w:sz w:val="24"/>
          <w:szCs w:val="24"/>
        </w:rPr>
        <w:t xml:space="preserve">stipulate to revised terms for the Doomsday Order. </w:t>
      </w:r>
      <w:r w:rsidR="004E4F5D">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 xml:space="preserve">See Local Form </w:t>
      </w:r>
      <w:r w:rsidR="00FB4129">
        <w:rPr>
          <w:rFonts w:ascii="Palatino Linotype" w:hAnsi="Palatino Linotype" w:cs="Times New Roman"/>
          <w:sz w:val="24"/>
          <w:szCs w:val="24"/>
        </w:rPr>
        <w:t>9008</w:t>
      </w:r>
      <w:r w:rsidR="00FB4129" w:rsidRPr="00C1724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w:t>
      </w:r>
      <w:bookmarkStart w:id="3" w:name="_Hlk23789944"/>
      <w:r w:rsidR="00FB4129" w:rsidRPr="00FB4129">
        <w:rPr>
          <w:rFonts w:ascii="Palatino Linotype" w:eastAsia="Calibri" w:hAnsi="Palatino Linotype" w:cs="Times New Roman"/>
          <w:sz w:val="24"/>
          <w:szCs w:val="24"/>
        </w:rPr>
        <w:t>Stipulation and Motion to Amend the Court’s Doomsday Order</w:t>
      </w:r>
      <w:bookmarkEnd w:id="3"/>
      <w:r w:rsidR="001D6EE5" w:rsidRPr="00C1724A">
        <w:rPr>
          <w:rFonts w:ascii="Palatino Linotype" w:hAnsi="Palatino Linotype" w:cs="Times New Roman"/>
          <w:sz w:val="24"/>
          <w:szCs w:val="24"/>
        </w:rPr>
        <w:t>) and Local Form</w:t>
      </w:r>
      <w:r w:rsidR="00C1724A" w:rsidRPr="00C1724A">
        <w:rPr>
          <w:rFonts w:ascii="Palatino Linotype" w:hAnsi="Palatino Linotype" w:cs="Times New Roman"/>
          <w:sz w:val="24"/>
          <w:szCs w:val="24"/>
        </w:rPr>
        <w:t xml:space="preserve"> </w:t>
      </w:r>
      <w:r w:rsidR="00FB4129">
        <w:rPr>
          <w:rFonts w:ascii="Palatino Linotype" w:hAnsi="Palatino Linotype" w:cs="Times New Roman"/>
          <w:sz w:val="24"/>
          <w:szCs w:val="24"/>
        </w:rPr>
        <w:t>9008-O</w:t>
      </w:r>
      <w:r w:rsidR="00FB4129" w:rsidRPr="00C1724A">
        <w:rPr>
          <w:rFonts w:ascii="Palatino Linotype" w:hAnsi="Palatino Linotype" w:cs="Times New Roman"/>
          <w:sz w:val="24"/>
          <w:szCs w:val="24"/>
        </w:rPr>
        <w:t xml:space="preserve"> </w:t>
      </w:r>
      <w:r w:rsidR="001D6EE5" w:rsidRPr="00C1724A">
        <w:rPr>
          <w:rFonts w:ascii="Palatino Linotype" w:hAnsi="Palatino Linotype" w:cs="Times New Roman"/>
          <w:sz w:val="24"/>
          <w:szCs w:val="24"/>
        </w:rPr>
        <w:t>(</w:t>
      </w:r>
      <w:bookmarkStart w:id="4" w:name="_Hlk23789895"/>
      <w:r w:rsidR="00FB4129" w:rsidRPr="00FB4129">
        <w:rPr>
          <w:rFonts w:ascii="Palatino Linotype" w:eastAsia="Calibri" w:hAnsi="Palatino Linotype" w:cs="Times New Roman"/>
          <w:sz w:val="24"/>
          <w:szCs w:val="24"/>
        </w:rPr>
        <w:t>Proposed Order Amend Doomsday Order</w:t>
      </w:r>
      <w:bookmarkEnd w:id="4"/>
      <w:r w:rsidR="00FB4129">
        <w:rPr>
          <w:rFonts w:ascii="Palatino Linotype" w:eastAsia="Calibri" w:hAnsi="Palatino Linotype" w:cs="Times New Roman"/>
          <w:sz w:val="24"/>
          <w:szCs w:val="24"/>
        </w:rPr>
        <w:t xml:space="preserve"> Based on </w:t>
      </w:r>
      <w:r w:rsidR="0045618F">
        <w:rPr>
          <w:rFonts w:ascii="Palatino Linotype" w:eastAsia="Calibri" w:hAnsi="Palatino Linotype" w:cs="Times New Roman"/>
          <w:sz w:val="24"/>
          <w:szCs w:val="24"/>
        </w:rPr>
        <w:t>Stipulation and Motion</w:t>
      </w:r>
      <w:r w:rsidR="001D6EE5" w:rsidRPr="00C1724A">
        <w:rPr>
          <w:rFonts w:ascii="Palatino Linotype" w:hAnsi="Palatino Linotype" w:cs="Times New Roman"/>
          <w:sz w:val="24"/>
          <w:szCs w:val="24"/>
        </w:rPr>
        <w:t xml:space="preserve">). </w:t>
      </w:r>
    </w:p>
    <w:p w14:paraId="5F150708" w14:textId="3DFE116A" w:rsidR="000F2333" w:rsidRPr="00A779E9" w:rsidRDefault="007A5C34" w:rsidP="000F2333">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 xml:space="preserve">The court ordinarily </w:t>
      </w:r>
      <w:r w:rsidR="00472431">
        <w:rPr>
          <w:rFonts w:ascii="Palatino Linotype" w:hAnsi="Palatino Linotype" w:cs="Times New Roman"/>
          <w:sz w:val="24"/>
          <w:szCs w:val="24"/>
        </w:rPr>
        <w:t xml:space="preserve">will </w:t>
      </w:r>
      <w:r>
        <w:rPr>
          <w:rFonts w:ascii="Palatino Linotype" w:hAnsi="Palatino Linotype" w:cs="Times New Roman"/>
          <w:sz w:val="24"/>
          <w:szCs w:val="24"/>
        </w:rPr>
        <w:t>amend the terms of a Doomsday Order based on a joint request</w:t>
      </w:r>
      <w:r w:rsidRPr="00A779E9">
        <w:rPr>
          <w:rFonts w:ascii="Palatino Linotype" w:hAnsi="Palatino Linotype" w:cs="Times New Roman"/>
          <w:sz w:val="24"/>
          <w:szCs w:val="24"/>
        </w:rPr>
        <w:t>.</w:t>
      </w:r>
    </w:p>
    <w:p w14:paraId="44BBB08C" w14:textId="4BFC7315" w:rsidR="005046E9" w:rsidRPr="00A779E9" w:rsidRDefault="000F2333" w:rsidP="000F2333">
      <w:pPr>
        <w:pStyle w:val="2Caps25"/>
        <w:numPr>
          <w:ilvl w:val="0"/>
          <w:numId w:val="1"/>
        </w:numPr>
        <w:spacing w:before="120" w:after="120"/>
        <w:ind w:left="1080"/>
        <w:rPr>
          <w:rFonts w:ascii="Palatino Linotype" w:hAnsi="Palatino Linotype" w:cs="Times New Roman"/>
          <w:sz w:val="24"/>
          <w:szCs w:val="24"/>
        </w:rPr>
      </w:pPr>
      <w:r w:rsidRPr="00A779E9">
        <w:rPr>
          <w:rFonts w:ascii="Palatino Linotype" w:hAnsi="Palatino Linotype" w:cs="Times New Roman"/>
          <w:sz w:val="24"/>
          <w:szCs w:val="24"/>
        </w:rPr>
        <w:t>If the opposing party will not agree to withdraw its Evidence of Defaul</w:t>
      </w:r>
      <w:r w:rsidR="005046E9" w:rsidRPr="00A779E9">
        <w:rPr>
          <w:rFonts w:ascii="Palatino Linotype" w:hAnsi="Palatino Linotype" w:cs="Times New Roman"/>
          <w:sz w:val="24"/>
          <w:szCs w:val="24"/>
        </w:rPr>
        <w:t xml:space="preserve">t, the party may file a </w:t>
      </w:r>
      <w:r w:rsidR="00626CFC" w:rsidRPr="00A779E9">
        <w:rPr>
          <w:rFonts w:ascii="Palatino Linotype" w:hAnsi="Palatino Linotype" w:cs="Times New Roman"/>
          <w:sz w:val="24"/>
          <w:szCs w:val="24"/>
        </w:rPr>
        <w:t>M</w:t>
      </w:r>
      <w:r w:rsidR="005046E9" w:rsidRPr="00A779E9">
        <w:rPr>
          <w:rFonts w:ascii="Palatino Linotype" w:hAnsi="Palatino Linotype" w:cs="Times New Roman"/>
          <w:sz w:val="24"/>
          <w:szCs w:val="24"/>
        </w:rPr>
        <w:t xml:space="preserve">otion to </w:t>
      </w:r>
      <w:r w:rsidR="002B6386">
        <w:rPr>
          <w:rFonts w:ascii="Palatino Linotype" w:hAnsi="Palatino Linotype" w:cs="Times New Roman"/>
          <w:sz w:val="24"/>
          <w:szCs w:val="24"/>
        </w:rPr>
        <w:t>Amend</w:t>
      </w:r>
      <w:r w:rsidR="002E7913">
        <w:rPr>
          <w:rFonts w:ascii="Palatino Linotype" w:hAnsi="Palatino Linotype" w:cs="Times New Roman"/>
          <w:sz w:val="24"/>
          <w:szCs w:val="24"/>
        </w:rPr>
        <w:t xml:space="preserve"> the </w:t>
      </w:r>
      <w:r w:rsidR="00472431">
        <w:rPr>
          <w:rFonts w:ascii="Palatino Linotype" w:hAnsi="Palatino Linotype" w:cs="Times New Roman"/>
          <w:sz w:val="24"/>
          <w:szCs w:val="24"/>
        </w:rPr>
        <w:t>D</w:t>
      </w:r>
      <w:r w:rsidR="002E7913">
        <w:rPr>
          <w:rFonts w:ascii="Palatino Linotype" w:hAnsi="Palatino Linotype" w:cs="Times New Roman"/>
          <w:sz w:val="24"/>
          <w:szCs w:val="24"/>
        </w:rPr>
        <w:t xml:space="preserve">oomsday </w:t>
      </w:r>
      <w:r w:rsidR="00472431">
        <w:rPr>
          <w:rFonts w:ascii="Palatino Linotype" w:hAnsi="Palatino Linotype" w:cs="Times New Roman"/>
          <w:sz w:val="24"/>
          <w:szCs w:val="24"/>
        </w:rPr>
        <w:t>O</w:t>
      </w:r>
      <w:r w:rsidR="002E7913">
        <w:rPr>
          <w:rFonts w:ascii="Palatino Linotype" w:hAnsi="Palatino Linotype" w:cs="Times New Roman"/>
          <w:sz w:val="24"/>
          <w:szCs w:val="24"/>
        </w:rPr>
        <w:t>rder to enlarge the time to comply after the expiration of the deadline.</w:t>
      </w:r>
      <w:r w:rsidR="005046E9" w:rsidRPr="00A779E9">
        <w:rPr>
          <w:rFonts w:ascii="Palatino Linotype" w:hAnsi="Palatino Linotype" w:cs="Times New Roman"/>
          <w:sz w:val="24"/>
          <w:szCs w:val="24"/>
        </w:rPr>
        <w:t xml:space="preserve">  Under Bankruptcy Rule 9006(b), a party asking the court to extend a deadline set in a Doomsday Order after the deadline has passed must establish “excusable neglect.”  </w:t>
      </w:r>
    </w:p>
    <w:p w14:paraId="0263E35D" w14:textId="4FE12A0B" w:rsidR="001B1A2F" w:rsidRPr="00C1724A" w:rsidRDefault="005046E9" w:rsidP="001B1A2F">
      <w:pPr>
        <w:pStyle w:val="2Caps25"/>
        <w:numPr>
          <w:ilvl w:val="0"/>
          <w:numId w:val="1"/>
        </w:numPr>
        <w:spacing w:before="120" w:after="120"/>
        <w:ind w:left="1440"/>
        <w:rPr>
          <w:rFonts w:ascii="Palatino Linotype" w:hAnsi="Palatino Linotype" w:cs="Times New Roman"/>
          <w:sz w:val="24"/>
          <w:szCs w:val="24"/>
        </w:rPr>
      </w:pPr>
      <w:r w:rsidRPr="00C1724A">
        <w:rPr>
          <w:rFonts w:ascii="Palatino Linotype" w:hAnsi="Palatino Linotype" w:cs="Times New Roman"/>
          <w:sz w:val="24"/>
          <w:szCs w:val="24"/>
        </w:rPr>
        <w:t xml:space="preserve">A </w:t>
      </w:r>
      <w:r w:rsidR="00626CFC" w:rsidRPr="00C1724A">
        <w:rPr>
          <w:rFonts w:ascii="Palatino Linotype" w:hAnsi="Palatino Linotype" w:cs="Times New Roman"/>
          <w:sz w:val="24"/>
          <w:szCs w:val="24"/>
        </w:rPr>
        <w:t>M</w:t>
      </w:r>
      <w:r w:rsidRPr="00C1724A">
        <w:rPr>
          <w:rFonts w:ascii="Palatino Linotype" w:hAnsi="Palatino Linotype" w:cs="Times New Roman"/>
          <w:sz w:val="24"/>
          <w:szCs w:val="24"/>
        </w:rPr>
        <w:t xml:space="preserve">otion to </w:t>
      </w:r>
      <w:r w:rsidR="002E7913" w:rsidRPr="00C1724A">
        <w:rPr>
          <w:rFonts w:ascii="Palatino Linotype" w:hAnsi="Palatino Linotype" w:cs="Times New Roman"/>
          <w:sz w:val="24"/>
          <w:szCs w:val="24"/>
        </w:rPr>
        <w:t xml:space="preserve">enlarge the time </w:t>
      </w:r>
      <w:r w:rsidRPr="00C1724A">
        <w:rPr>
          <w:rFonts w:ascii="Palatino Linotype" w:hAnsi="Palatino Linotype" w:cs="Times New Roman"/>
          <w:sz w:val="24"/>
          <w:szCs w:val="24"/>
        </w:rPr>
        <w:t xml:space="preserve">must state specific facts </w:t>
      </w:r>
      <w:r w:rsidR="00626CFC" w:rsidRPr="00C1724A">
        <w:rPr>
          <w:rFonts w:ascii="Palatino Linotype" w:hAnsi="Palatino Linotype" w:cs="Times New Roman"/>
          <w:sz w:val="24"/>
          <w:szCs w:val="24"/>
        </w:rPr>
        <w:t xml:space="preserve">establishing excusable neglect or otherwise </w:t>
      </w:r>
      <w:r w:rsidRPr="00C1724A">
        <w:rPr>
          <w:rFonts w:ascii="Palatino Linotype" w:hAnsi="Palatino Linotype" w:cs="Times New Roman"/>
          <w:sz w:val="24"/>
          <w:szCs w:val="24"/>
        </w:rPr>
        <w:t xml:space="preserve">justifying relief or the court may deny the motion without a hearing.  </w:t>
      </w:r>
      <w:r w:rsidR="0041184E" w:rsidRPr="00C1724A">
        <w:rPr>
          <w:rFonts w:ascii="Palatino Linotype" w:hAnsi="Palatino Linotype" w:cs="Times New Roman"/>
          <w:sz w:val="24"/>
          <w:szCs w:val="24"/>
        </w:rPr>
        <w:t xml:space="preserve">The motion must be served on the party that filed the Evidence of Default with notice that objections are due within 7 </w:t>
      </w:r>
      <w:r w:rsidR="0041184E" w:rsidRPr="00C1724A">
        <w:rPr>
          <w:rFonts w:ascii="Palatino Linotype" w:hAnsi="Palatino Linotype" w:cs="Times New Roman"/>
          <w:sz w:val="24"/>
          <w:szCs w:val="24"/>
        </w:rPr>
        <w:lastRenderedPageBreak/>
        <w:t>days and that the failure to object may result in the court granting the motion.</w:t>
      </w:r>
      <w:r w:rsidR="002B6386" w:rsidRPr="00C1724A">
        <w:rPr>
          <w:rFonts w:ascii="Palatino Linotype" w:hAnsi="Palatino Linotype" w:cs="Times New Roman"/>
          <w:sz w:val="24"/>
          <w:szCs w:val="24"/>
        </w:rPr>
        <w:t xml:space="preserve"> </w:t>
      </w:r>
      <w:r w:rsidR="004E4F5D">
        <w:rPr>
          <w:rFonts w:ascii="Palatino Linotype" w:hAnsi="Palatino Linotype" w:cs="Times New Roman"/>
          <w:sz w:val="24"/>
          <w:szCs w:val="24"/>
        </w:rPr>
        <w:t xml:space="preserve"> </w:t>
      </w:r>
      <w:r w:rsidR="002B6386" w:rsidRPr="00C1724A">
        <w:rPr>
          <w:rFonts w:ascii="Palatino Linotype" w:hAnsi="Palatino Linotype" w:cs="Times New Roman"/>
          <w:sz w:val="24"/>
          <w:szCs w:val="24"/>
        </w:rPr>
        <w:t xml:space="preserve">See Local Form </w:t>
      </w:r>
      <w:r w:rsidR="0045618F">
        <w:rPr>
          <w:rFonts w:ascii="Palatino Linotype" w:hAnsi="Palatino Linotype" w:cs="Times New Roman"/>
          <w:sz w:val="24"/>
          <w:szCs w:val="24"/>
        </w:rPr>
        <w:t>9006-B</w:t>
      </w:r>
      <w:r w:rsidR="0045618F" w:rsidRPr="00C1724A">
        <w:rPr>
          <w:rFonts w:ascii="Palatino Linotype" w:hAnsi="Palatino Linotype" w:cs="Times New Roman"/>
          <w:sz w:val="24"/>
          <w:szCs w:val="24"/>
        </w:rPr>
        <w:t xml:space="preserve"> </w:t>
      </w:r>
      <w:r w:rsidR="002B6386" w:rsidRPr="00C1724A">
        <w:rPr>
          <w:rFonts w:ascii="Palatino Linotype" w:hAnsi="Palatino Linotype" w:cs="Times New Roman"/>
          <w:sz w:val="24"/>
          <w:szCs w:val="24"/>
        </w:rPr>
        <w:t>(</w:t>
      </w:r>
      <w:r w:rsidR="0045618F" w:rsidRPr="0045618F">
        <w:rPr>
          <w:rFonts w:ascii="Palatino Linotype" w:eastAsia="Calibri" w:hAnsi="Palatino Linotype" w:cs="Times New Roman"/>
          <w:sz w:val="24"/>
          <w:szCs w:val="24"/>
        </w:rPr>
        <w:t>Notice of Motion and Motion to Modify the Court’s Doomsday Order to Enlarge the Time to Comply After Deadline Expiration</w:t>
      </w:r>
      <w:r w:rsidR="002B6386" w:rsidRPr="00C1724A">
        <w:rPr>
          <w:rFonts w:ascii="Palatino Linotype" w:hAnsi="Palatino Linotype" w:cs="Times New Roman"/>
          <w:sz w:val="24"/>
          <w:szCs w:val="24"/>
        </w:rPr>
        <w:t xml:space="preserve">) and Local Form </w:t>
      </w:r>
      <w:r w:rsidR="0045618F">
        <w:rPr>
          <w:rFonts w:ascii="Palatino Linotype" w:hAnsi="Palatino Linotype" w:cs="Times New Roman"/>
          <w:sz w:val="24"/>
          <w:szCs w:val="24"/>
        </w:rPr>
        <w:t>9006-O</w:t>
      </w:r>
      <w:r w:rsidR="0045618F" w:rsidRPr="00C1724A">
        <w:rPr>
          <w:rFonts w:ascii="Palatino Linotype" w:hAnsi="Palatino Linotype" w:cs="Times New Roman"/>
          <w:sz w:val="24"/>
          <w:szCs w:val="24"/>
        </w:rPr>
        <w:t xml:space="preserve"> </w:t>
      </w:r>
      <w:r w:rsidR="002B6386" w:rsidRPr="00C1724A">
        <w:rPr>
          <w:rFonts w:ascii="Palatino Linotype" w:hAnsi="Palatino Linotype" w:cs="Times New Roman"/>
          <w:sz w:val="24"/>
          <w:szCs w:val="24"/>
        </w:rPr>
        <w:t>(</w:t>
      </w:r>
      <w:bookmarkStart w:id="5" w:name="_Hlk23790170"/>
      <w:r w:rsidR="0045618F" w:rsidRPr="0045618F">
        <w:rPr>
          <w:rFonts w:ascii="Palatino Linotype" w:eastAsia="Calibri" w:hAnsi="Palatino Linotype" w:cs="Times New Roman"/>
          <w:sz w:val="24"/>
          <w:szCs w:val="24"/>
        </w:rPr>
        <w:t>Proposed Order Modifying the Court’s Doomsday Order to Enlarge the Time to Comply</w:t>
      </w:r>
      <w:bookmarkEnd w:id="5"/>
      <w:r w:rsidR="0045618F">
        <w:rPr>
          <w:rFonts w:ascii="Palatino Linotype" w:hAnsi="Palatino Linotype" w:cs="Times New Roman"/>
          <w:sz w:val="24"/>
          <w:szCs w:val="24"/>
        </w:rPr>
        <w:t>).</w:t>
      </w:r>
    </w:p>
    <w:p w14:paraId="63DBB2DB" w14:textId="1F12A132" w:rsidR="008F0155" w:rsidRDefault="002E7913" w:rsidP="00A75248">
      <w:pPr>
        <w:pStyle w:val="2Caps25"/>
        <w:spacing w:before="120" w:after="120"/>
        <w:ind w:left="720"/>
        <w:rPr>
          <w:rFonts w:ascii="Palatino Linotype" w:hAnsi="Palatino Linotype" w:cs="Times New Roman"/>
          <w:b/>
          <w:i/>
          <w:sz w:val="24"/>
          <w:szCs w:val="24"/>
        </w:rPr>
      </w:pPr>
      <w:r w:rsidRPr="00C44E42">
        <w:rPr>
          <w:rFonts w:ascii="Palatino Linotype" w:hAnsi="Palatino Linotype" w:cs="Times New Roman"/>
          <w:sz w:val="24"/>
          <w:szCs w:val="24"/>
        </w:rPr>
        <w:t xml:space="preserve">An opposing party also </w:t>
      </w:r>
      <w:r w:rsidR="00472431" w:rsidRPr="00C44E42">
        <w:rPr>
          <w:rFonts w:ascii="Palatino Linotype" w:hAnsi="Palatino Linotype" w:cs="Times New Roman"/>
          <w:sz w:val="24"/>
          <w:szCs w:val="24"/>
        </w:rPr>
        <w:t xml:space="preserve">may </w:t>
      </w:r>
      <w:r w:rsidRPr="00C44E42">
        <w:rPr>
          <w:rFonts w:ascii="Palatino Linotype" w:hAnsi="Palatino Linotype" w:cs="Times New Roman"/>
          <w:sz w:val="24"/>
          <w:szCs w:val="24"/>
        </w:rPr>
        <w:t xml:space="preserve">file a motion to amend the Doomsday Order if, for example, </w:t>
      </w:r>
      <w:r w:rsidR="001B1A2F" w:rsidRPr="00C44E42">
        <w:rPr>
          <w:rFonts w:ascii="Palatino Linotype" w:hAnsi="Palatino Linotype" w:cs="Times New Roman"/>
          <w:sz w:val="24"/>
          <w:szCs w:val="24"/>
        </w:rPr>
        <w:t xml:space="preserve">the debtor needs to modify a requirement other than the timing of the compliance with the </w:t>
      </w:r>
      <w:r w:rsidR="00472431" w:rsidRPr="00C44E42">
        <w:rPr>
          <w:rFonts w:ascii="Palatino Linotype" w:hAnsi="Palatino Linotype" w:cs="Times New Roman"/>
          <w:sz w:val="24"/>
          <w:szCs w:val="24"/>
        </w:rPr>
        <w:t>D</w:t>
      </w:r>
      <w:r w:rsidR="001B1A2F" w:rsidRPr="00C44E42">
        <w:rPr>
          <w:rFonts w:ascii="Palatino Linotype" w:hAnsi="Palatino Linotype" w:cs="Times New Roman"/>
          <w:sz w:val="24"/>
          <w:szCs w:val="24"/>
        </w:rPr>
        <w:t xml:space="preserve">oomsday </w:t>
      </w:r>
      <w:r w:rsidR="00472431" w:rsidRPr="00C44E42">
        <w:rPr>
          <w:rFonts w:ascii="Palatino Linotype" w:hAnsi="Palatino Linotype" w:cs="Times New Roman"/>
          <w:sz w:val="24"/>
          <w:szCs w:val="24"/>
        </w:rPr>
        <w:t>O</w:t>
      </w:r>
      <w:r w:rsidR="001B1A2F" w:rsidRPr="00C44E42">
        <w:rPr>
          <w:rFonts w:ascii="Palatino Linotype" w:hAnsi="Palatino Linotype" w:cs="Times New Roman"/>
          <w:sz w:val="24"/>
          <w:szCs w:val="24"/>
        </w:rPr>
        <w:t>rder</w:t>
      </w:r>
      <w:r w:rsidR="007A5C34" w:rsidRPr="00C44E42">
        <w:rPr>
          <w:rFonts w:ascii="Palatino Linotype" w:hAnsi="Palatino Linotype" w:cs="Times New Roman"/>
          <w:sz w:val="24"/>
          <w:szCs w:val="24"/>
        </w:rPr>
        <w:t xml:space="preserve"> (for example, changes in the debtor’s situation may make filing an amended plan unnecessary)</w:t>
      </w:r>
      <w:r w:rsidR="001B1A2F" w:rsidRPr="00C44E42">
        <w:rPr>
          <w:rFonts w:ascii="Palatino Linotype" w:hAnsi="Palatino Linotype" w:cs="Times New Roman"/>
          <w:sz w:val="24"/>
          <w:szCs w:val="24"/>
        </w:rPr>
        <w:t>.</w:t>
      </w:r>
      <w:r w:rsidR="002B6386" w:rsidRPr="00C44E42">
        <w:rPr>
          <w:rFonts w:ascii="Palatino Linotype" w:hAnsi="Palatino Linotype" w:cs="Times New Roman"/>
          <w:sz w:val="24"/>
          <w:szCs w:val="24"/>
        </w:rPr>
        <w:t xml:space="preserve"> </w:t>
      </w:r>
      <w:r w:rsidR="004E4F5D" w:rsidRPr="00C44E42">
        <w:rPr>
          <w:rFonts w:ascii="Palatino Linotype" w:hAnsi="Palatino Linotype" w:cs="Times New Roman"/>
          <w:sz w:val="24"/>
          <w:szCs w:val="24"/>
        </w:rPr>
        <w:t xml:space="preserve"> </w:t>
      </w:r>
      <w:r w:rsidR="002B6386" w:rsidRPr="00C44E42">
        <w:rPr>
          <w:rFonts w:ascii="Palatino Linotype" w:hAnsi="Palatino Linotype" w:cs="Times New Roman"/>
          <w:sz w:val="24"/>
          <w:szCs w:val="24"/>
        </w:rPr>
        <w:t xml:space="preserve">See Local Form </w:t>
      </w:r>
      <w:r w:rsidR="008F0155" w:rsidRPr="00C44E42">
        <w:rPr>
          <w:rFonts w:ascii="Palatino Linotype" w:hAnsi="Palatino Linotype" w:cs="Times New Roman"/>
          <w:sz w:val="24"/>
          <w:szCs w:val="24"/>
        </w:rPr>
        <w:t xml:space="preserve">9003 </w:t>
      </w:r>
      <w:r w:rsidR="002B6386" w:rsidRPr="00C44E42">
        <w:rPr>
          <w:rFonts w:ascii="Palatino Linotype" w:hAnsi="Palatino Linotype" w:cs="Times New Roman"/>
          <w:sz w:val="24"/>
          <w:szCs w:val="24"/>
        </w:rPr>
        <w:t>(</w:t>
      </w:r>
      <w:r w:rsidR="008F0155" w:rsidRPr="00C44E42">
        <w:rPr>
          <w:rFonts w:ascii="Palatino Linotype" w:eastAsia="Calibri" w:hAnsi="Palatino Linotype" w:cs="Times New Roman"/>
          <w:sz w:val="24"/>
          <w:szCs w:val="24"/>
        </w:rPr>
        <w:t xml:space="preserve">Notice of Motion and Motion to Amend Doomsday Order) </w:t>
      </w:r>
      <w:r w:rsidR="002B6386" w:rsidRPr="00C44E42">
        <w:rPr>
          <w:rFonts w:ascii="Palatino Linotype" w:hAnsi="Palatino Linotype" w:cs="Times New Roman"/>
          <w:sz w:val="24"/>
          <w:szCs w:val="24"/>
        </w:rPr>
        <w:t xml:space="preserve">and Local Form </w:t>
      </w:r>
      <w:r w:rsidR="008F0155" w:rsidRPr="00C44E42">
        <w:rPr>
          <w:rFonts w:ascii="Palatino Linotype" w:hAnsi="Palatino Linotype" w:cs="Times New Roman"/>
          <w:sz w:val="24"/>
          <w:szCs w:val="24"/>
        </w:rPr>
        <w:t xml:space="preserve">9003-O </w:t>
      </w:r>
      <w:r w:rsidR="002B6386" w:rsidRPr="00C44E42">
        <w:rPr>
          <w:rFonts w:ascii="Palatino Linotype" w:hAnsi="Palatino Linotype" w:cs="Times New Roman"/>
          <w:sz w:val="24"/>
          <w:szCs w:val="24"/>
        </w:rPr>
        <w:t>(</w:t>
      </w:r>
      <w:r w:rsidR="008F0155" w:rsidRPr="00C44E42">
        <w:rPr>
          <w:rFonts w:ascii="Palatino Linotype" w:eastAsia="Calibri" w:hAnsi="Palatino Linotype" w:cs="Times New Roman"/>
          <w:sz w:val="24"/>
          <w:szCs w:val="24"/>
        </w:rPr>
        <w:t>Proposed Order Amending Doomsday Order</w:t>
      </w:r>
      <w:r w:rsidR="002B6386" w:rsidRPr="00C44E42">
        <w:rPr>
          <w:rFonts w:ascii="Palatino Linotype" w:hAnsi="Palatino Linotype" w:cs="Times New Roman"/>
          <w:sz w:val="24"/>
          <w:szCs w:val="24"/>
        </w:rPr>
        <w:t xml:space="preserve">). </w:t>
      </w:r>
      <w:r w:rsidR="004E4F5D" w:rsidRPr="00C44E42">
        <w:rPr>
          <w:rFonts w:ascii="Palatino Linotype" w:hAnsi="Palatino Linotype" w:cs="Times New Roman"/>
          <w:sz w:val="24"/>
          <w:szCs w:val="24"/>
        </w:rPr>
        <w:t xml:space="preserve"> </w:t>
      </w:r>
    </w:p>
    <w:p w14:paraId="30161FA2" w14:textId="56EBA1F9" w:rsidR="003E2DD2" w:rsidRPr="008062CF" w:rsidRDefault="008062CF" w:rsidP="00A75248">
      <w:pPr>
        <w:pStyle w:val="2Caps25"/>
        <w:spacing w:before="120" w:after="120"/>
        <w:ind w:left="720"/>
        <w:rPr>
          <w:rFonts w:ascii="Palatino Linotype" w:hAnsi="Palatino Linotype" w:cs="Times New Roman"/>
          <w:b/>
          <w:i/>
          <w:sz w:val="24"/>
          <w:szCs w:val="24"/>
        </w:rPr>
      </w:pPr>
      <w:r w:rsidRPr="008062CF">
        <w:rPr>
          <w:rFonts w:ascii="Palatino Linotype" w:hAnsi="Palatino Linotype" w:cs="Times New Roman"/>
          <w:b/>
          <w:i/>
          <w:sz w:val="24"/>
          <w:szCs w:val="24"/>
        </w:rPr>
        <w:t>Effect of Withdrawal of</w:t>
      </w:r>
      <w:r w:rsidR="003E2DD2" w:rsidRPr="008062CF">
        <w:rPr>
          <w:rFonts w:ascii="Palatino Linotype" w:hAnsi="Palatino Linotype" w:cs="Times New Roman"/>
          <w:b/>
          <w:i/>
          <w:sz w:val="24"/>
          <w:szCs w:val="24"/>
        </w:rPr>
        <w:t xml:space="preserve"> Evidence of Default</w:t>
      </w:r>
    </w:p>
    <w:p w14:paraId="31C22A06" w14:textId="3CA71E39" w:rsidR="0041184E" w:rsidRDefault="0041184E" w:rsidP="001B5439">
      <w:pPr>
        <w:pStyle w:val="2Caps25"/>
        <w:numPr>
          <w:ilvl w:val="0"/>
          <w:numId w:val="3"/>
        </w:numPr>
        <w:spacing w:before="120" w:after="120"/>
        <w:ind w:left="1080"/>
        <w:rPr>
          <w:rFonts w:ascii="Palatino Linotype" w:hAnsi="Palatino Linotype" w:cs="Times New Roman"/>
          <w:b/>
          <w:i/>
          <w:sz w:val="24"/>
          <w:szCs w:val="24"/>
        </w:rPr>
      </w:pPr>
      <w:r>
        <w:rPr>
          <w:rFonts w:ascii="Palatino Linotype" w:hAnsi="Palatino Linotype" w:cs="Times New Roman"/>
          <w:sz w:val="24"/>
          <w:szCs w:val="24"/>
        </w:rPr>
        <w:t>A party’s withdrawal of Evidence of Default does not imply that the Evidence of Default was untrue or lacked a basis in fact, nor will the court consider sanctions against the withdrawing party based solely on the withdrawal.</w:t>
      </w:r>
    </w:p>
    <w:p w14:paraId="067D1D73" w14:textId="486111BA" w:rsidR="00626CFC" w:rsidRPr="00A779E9" w:rsidRDefault="00A75248" w:rsidP="00A75248">
      <w:pPr>
        <w:pStyle w:val="2Caps25"/>
        <w:spacing w:before="120" w:after="120"/>
        <w:ind w:left="720"/>
        <w:rPr>
          <w:rFonts w:ascii="Palatino Linotype" w:hAnsi="Palatino Linotype" w:cs="Times New Roman"/>
          <w:b/>
          <w:i/>
          <w:sz w:val="24"/>
          <w:szCs w:val="24"/>
        </w:rPr>
      </w:pPr>
      <w:r w:rsidRPr="00A779E9">
        <w:rPr>
          <w:rFonts w:ascii="Palatino Linotype" w:hAnsi="Palatino Linotype" w:cs="Times New Roman"/>
          <w:b/>
          <w:i/>
          <w:sz w:val="24"/>
          <w:szCs w:val="24"/>
        </w:rPr>
        <w:t>Resolution of Challenges to Doomsday Orders</w:t>
      </w:r>
      <w:r w:rsidR="00626CFC" w:rsidRPr="00A779E9">
        <w:rPr>
          <w:rFonts w:ascii="Palatino Linotype" w:hAnsi="Palatino Linotype" w:cs="Times New Roman"/>
          <w:b/>
          <w:i/>
          <w:sz w:val="24"/>
          <w:szCs w:val="24"/>
        </w:rPr>
        <w:t xml:space="preserve"> </w:t>
      </w:r>
    </w:p>
    <w:p w14:paraId="08DF81C6" w14:textId="723F3F74" w:rsidR="00A75248" w:rsidRPr="004E4F5D" w:rsidRDefault="00A75248" w:rsidP="00A75248">
      <w:pPr>
        <w:pStyle w:val="2Caps25"/>
        <w:numPr>
          <w:ilvl w:val="0"/>
          <w:numId w:val="1"/>
        </w:numPr>
        <w:spacing w:before="120" w:after="120"/>
        <w:ind w:left="1080"/>
        <w:rPr>
          <w:rFonts w:ascii="Palatino Linotype" w:hAnsi="Palatino Linotype" w:cs="Times New Roman"/>
          <w:sz w:val="24"/>
          <w:szCs w:val="24"/>
        </w:rPr>
      </w:pPr>
      <w:r w:rsidRPr="004E4F5D">
        <w:rPr>
          <w:rFonts w:ascii="Palatino Linotype" w:hAnsi="Palatino Linotype" w:cs="Times New Roman"/>
          <w:sz w:val="24"/>
          <w:szCs w:val="24"/>
        </w:rPr>
        <w:t>The court may hold a hearing on a Motion to Strike</w:t>
      </w:r>
      <w:r w:rsidR="001B1A2F" w:rsidRPr="004E4F5D">
        <w:rPr>
          <w:rFonts w:ascii="Palatino Linotype" w:hAnsi="Palatino Linotype" w:cs="Times New Roman"/>
          <w:sz w:val="24"/>
          <w:szCs w:val="24"/>
        </w:rPr>
        <w:t>, a Motion to E</w:t>
      </w:r>
      <w:r w:rsidR="00472431" w:rsidRPr="004E4F5D">
        <w:rPr>
          <w:rFonts w:ascii="Palatino Linotype" w:hAnsi="Palatino Linotype" w:cs="Times New Roman"/>
          <w:sz w:val="24"/>
          <w:szCs w:val="24"/>
        </w:rPr>
        <w:t>nlarge</w:t>
      </w:r>
      <w:r w:rsidR="001B1A2F" w:rsidRPr="004E4F5D">
        <w:rPr>
          <w:rFonts w:ascii="Palatino Linotype" w:hAnsi="Palatino Linotype" w:cs="Times New Roman"/>
          <w:sz w:val="24"/>
          <w:szCs w:val="24"/>
        </w:rPr>
        <w:t xml:space="preserve"> the Time,</w:t>
      </w:r>
      <w:r w:rsidR="00665DC4" w:rsidRPr="004E4F5D">
        <w:rPr>
          <w:rFonts w:ascii="Palatino Linotype" w:hAnsi="Palatino Linotype" w:cs="Times New Roman"/>
          <w:sz w:val="24"/>
          <w:szCs w:val="24"/>
        </w:rPr>
        <w:t xml:space="preserve"> or</w:t>
      </w:r>
      <w:r w:rsidRPr="004E4F5D">
        <w:rPr>
          <w:rFonts w:ascii="Palatino Linotype" w:hAnsi="Palatino Linotype" w:cs="Times New Roman"/>
          <w:sz w:val="24"/>
          <w:szCs w:val="24"/>
        </w:rPr>
        <w:t xml:space="preserve"> a Motion to Amend, whether or not there is a timely objection.  </w:t>
      </w:r>
      <w:r w:rsidRPr="00C44E42">
        <w:rPr>
          <w:rFonts w:ascii="Palatino Linotype" w:hAnsi="Palatino Linotype" w:cs="Times New Roman"/>
          <w:b/>
          <w:i/>
          <w:sz w:val="24"/>
          <w:szCs w:val="24"/>
        </w:rPr>
        <w:t>Unless otherwise directed by the court, the hearing will be conducted as an in-person evidentiary hearing</w:t>
      </w:r>
      <w:r w:rsidRPr="004E4F5D">
        <w:rPr>
          <w:rFonts w:ascii="Palatino Linotype" w:hAnsi="Palatino Linotype" w:cs="Times New Roman"/>
          <w:sz w:val="24"/>
          <w:szCs w:val="24"/>
        </w:rPr>
        <w:t xml:space="preserve">. </w:t>
      </w:r>
    </w:p>
    <w:p w14:paraId="018236DD" w14:textId="6D9B24C1" w:rsidR="00A75248" w:rsidRPr="004E4F5D" w:rsidRDefault="00A75248" w:rsidP="00A75248">
      <w:pPr>
        <w:pStyle w:val="2Caps25"/>
        <w:numPr>
          <w:ilvl w:val="0"/>
          <w:numId w:val="1"/>
        </w:numPr>
        <w:spacing w:before="120" w:after="120"/>
        <w:ind w:left="1080"/>
        <w:rPr>
          <w:rFonts w:ascii="Palatino Linotype" w:hAnsi="Palatino Linotype" w:cs="Times New Roman"/>
          <w:sz w:val="24"/>
          <w:szCs w:val="24"/>
        </w:rPr>
      </w:pPr>
      <w:r w:rsidRPr="004E4F5D">
        <w:rPr>
          <w:rFonts w:ascii="Palatino Linotype" w:hAnsi="Palatino Linotype" w:cs="Times New Roman"/>
          <w:sz w:val="24"/>
          <w:szCs w:val="24"/>
        </w:rPr>
        <w:t>A party filing a Motion to Strike</w:t>
      </w:r>
      <w:r w:rsidR="001B1A2F" w:rsidRPr="004E4F5D">
        <w:rPr>
          <w:rFonts w:ascii="Palatino Linotype" w:hAnsi="Palatino Linotype" w:cs="Times New Roman"/>
          <w:sz w:val="24"/>
          <w:szCs w:val="24"/>
        </w:rPr>
        <w:t>, a Motion to E</w:t>
      </w:r>
      <w:r w:rsidR="00472431" w:rsidRPr="004E4F5D">
        <w:rPr>
          <w:rFonts w:ascii="Palatino Linotype" w:hAnsi="Palatino Linotype" w:cs="Times New Roman"/>
          <w:sz w:val="24"/>
          <w:szCs w:val="24"/>
        </w:rPr>
        <w:t>n</w:t>
      </w:r>
      <w:r w:rsidR="007A5C34" w:rsidRPr="004E4F5D">
        <w:rPr>
          <w:rFonts w:ascii="Palatino Linotype" w:hAnsi="Palatino Linotype" w:cs="Times New Roman"/>
          <w:sz w:val="24"/>
          <w:szCs w:val="24"/>
        </w:rPr>
        <w:t>large</w:t>
      </w:r>
      <w:r w:rsidR="001B1A2F" w:rsidRPr="004E4F5D">
        <w:rPr>
          <w:rFonts w:ascii="Palatino Linotype" w:hAnsi="Palatino Linotype" w:cs="Times New Roman"/>
          <w:sz w:val="24"/>
          <w:szCs w:val="24"/>
        </w:rPr>
        <w:t xml:space="preserve"> the Time,</w:t>
      </w:r>
      <w:r w:rsidRPr="004E4F5D">
        <w:rPr>
          <w:rFonts w:ascii="Palatino Linotype" w:hAnsi="Palatino Linotype" w:cs="Times New Roman"/>
          <w:sz w:val="24"/>
          <w:szCs w:val="24"/>
        </w:rPr>
        <w:t xml:space="preserve"> or </w:t>
      </w:r>
      <w:r w:rsidR="001B1A2F" w:rsidRPr="004E4F5D">
        <w:rPr>
          <w:rFonts w:ascii="Palatino Linotype" w:hAnsi="Palatino Linotype" w:cs="Times New Roman"/>
          <w:sz w:val="24"/>
          <w:szCs w:val="24"/>
        </w:rPr>
        <w:t xml:space="preserve">a </w:t>
      </w:r>
      <w:r w:rsidRPr="004E4F5D">
        <w:rPr>
          <w:rFonts w:ascii="Palatino Linotype" w:hAnsi="Palatino Linotype" w:cs="Times New Roman"/>
          <w:sz w:val="24"/>
          <w:szCs w:val="24"/>
        </w:rPr>
        <w:t>Motion to Amend</w:t>
      </w:r>
      <w:r w:rsidR="0023248B" w:rsidRPr="004E4F5D">
        <w:rPr>
          <w:rFonts w:ascii="Palatino Linotype" w:hAnsi="Palatino Linotype" w:cs="Times New Roman"/>
          <w:sz w:val="24"/>
          <w:szCs w:val="24"/>
        </w:rPr>
        <w:t xml:space="preserve"> must submit a proposed order </w:t>
      </w:r>
      <w:r w:rsidR="00472431" w:rsidRPr="004E4F5D">
        <w:rPr>
          <w:rFonts w:ascii="Palatino Linotype" w:hAnsi="Palatino Linotype" w:cs="Times New Roman"/>
          <w:sz w:val="24"/>
          <w:szCs w:val="24"/>
        </w:rPr>
        <w:t xml:space="preserve">promptly </w:t>
      </w:r>
      <w:r w:rsidR="0023248B" w:rsidRPr="004E4F5D">
        <w:rPr>
          <w:rFonts w:ascii="Palatino Linotype" w:hAnsi="Palatino Linotype" w:cs="Times New Roman"/>
          <w:sz w:val="24"/>
          <w:szCs w:val="24"/>
        </w:rPr>
        <w:t xml:space="preserve">if no objection is filed or the court resolves the motion in the movant’s favor. </w:t>
      </w:r>
      <w:r w:rsidR="004E4F5D">
        <w:rPr>
          <w:rFonts w:ascii="Palatino Linotype" w:hAnsi="Palatino Linotype" w:cs="Times New Roman"/>
          <w:sz w:val="24"/>
          <w:szCs w:val="24"/>
        </w:rPr>
        <w:t xml:space="preserve"> </w:t>
      </w:r>
      <w:r w:rsidR="00D47703" w:rsidRPr="004E4F5D">
        <w:rPr>
          <w:rFonts w:ascii="Palatino Linotype" w:hAnsi="Palatino Linotype" w:cs="Times New Roman"/>
          <w:sz w:val="24"/>
          <w:szCs w:val="24"/>
        </w:rPr>
        <w:t xml:space="preserve">See Local Forms </w:t>
      </w:r>
      <w:r w:rsidR="008F0155">
        <w:rPr>
          <w:rFonts w:ascii="Palatino Linotype" w:hAnsi="Palatino Linotype" w:cs="Times New Roman"/>
          <w:sz w:val="24"/>
          <w:szCs w:val="24"/>
        </w:rPr>
        <w:t xml:space="preserve">9002-O, 9003-O, </w:t>
      </w:r>
      <w:r w:rsidR="005C5B73">
        <w:rPr>
          <w:rFonts w:ascii="Palatino Linotype" w:hAnsi="Palatino Linotype" w:cs="Times New Roman"/>
          <w:sz w:val="24"/>
          <w:szCs w:val="24"/>
        </w:rPr>
        <w:t>9006-O</w:t>
      </w:r>
      <w:r w:rsidR="005C5B73" w:rsidRPr="004E4F5D">
        <w:rPr>
          <w:rFonts w:ascii="Palatino Linotype" w:hAnsi="Palatino Linotype" w:cs="Times New Roman"/>
          <w:sz w:val="24"/>
          <w:szCs w:val="24"/>
        </w:rPr>
        <w:t xml:space="preserve"> </w:t>
      </w:r>
      <w:r w:rsidR="00D47703" w:rsidRPr="004E4F5D">
        <w:rPr>
          <w:rFonts w:ascii="Palatino Linotype" w:hAnsi="Palatino Linotype" w:cs="Times New Roman"/>
          <w:sz w:val="24"/>
          <w:szCs w:val="24"/>
        </w:rPr>
        <w:t xml:space="preserve">and </w:t>
      </w:r>
      <w:r w:rsidR="005C5B73">
        <w:rPr>
          <w:rFonts w:ascii="Palatino Linotype" w:hAnsi="Palatino Linotype" w:cs="Times New Roman"/>
          <w:sz w:val="24"/>
          <w:szCs w:val="24"/>
        </w:rPr>
        <w:t>9008-O.</w:t>
      </w:r>
    </w:p>
    <w:sectPr w:rsidR="00A75248" w:rsidRPr="004E4F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6EFA" w14:textId="77777777" w:rsidR="00901D8E" w:rsidRDefault="00901D8E" w:rsidP="00A779E9">
      <w:pPr>
        <w:spacing w:after="0" w:line="240" w:lineRule="auto"/>
      </w:pPr>
      <w:r>
        <w:separator/>
      </w:r>
    </w:p>
  </w:endnote>
  <w:endnote w:type="continuationSeparator" w:id="0">
    <w:p w14:paraId="78A7CF12" w14:textId="77777777" w:rsidR="00901D8E" w:rsidRDefault="00901D8E" w:rsidP="00A7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594648"/>
      <w:docPartObj>
        <w:docPartGallery w:val="Page Numbers (Bottom of Page)"/>
        <w:docPartUnique/>
      </w:docPartObj>
    </w:sdtPr>
    <w:sdtEndPr>
      <w:rPr>
        <w:noProof/>
      </w:rPr>
    </w:sdtEndPr>
    <w:sdtContent>
      <w:p w14:paraId="0C0AA4CB" w14:textId="0AC88EE4" w:rsidR="00A779E9" w:rsidRDefault="00A779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84F85" w14:textId="77777777" w:rsidR="00A779E9" w:rsidRDefault="00A7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B34F" w14:textId="77777777" w:rsidR="00901D8E" w:rsidRDefault="00901D8E" w:rsidP="00A779E9">
      <w:pPr>
        <w:spacing w:after="0" w:line="240" w:lineRule="auto"/>
      </w:pPr>
      <w:r>
        <w:separator/>
      </w:r>
    </w:p>
  </w:footnote>
  <w:footnote w:type="continuationSeparator" w:id="0">
    <w:p w14:paraId="6EDE982D" w14:textId="77777777" w:rsidR="00901D8E" w:rsidRDefault="00901D8E" w:rsidP="00A77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560"/>
    <w:multiLevelType w:val="hybridMultilevel"/>
    <w:tmpl w:val="CACC9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765F7"/>
    <w:multiLevelType w:val="hybridMultilevel"/>
    <w:tmpl w:val="1914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E6FBC"/>
    <w:multiLevelType w:val="hybridMultilevel"/>
    <w:tmpl w:val="B8A2D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D"/>
    <w:rsid w:val="0000035E"/>
    <w:rsid w:val="00012593"/>
    <w:rsid w:val="00091742"/>
    <w:rsid w:val="000A1C73"/>
    <w:rsid w:val="000A40E4"/>
    <w:rsid w:val="000F2333"/>
    <w:rsid w:val="001138D7"/>
    <w:rsid w:val="001B1A2F"/>
    <w:rsid w:val="001B5439"/>
    <w:rsid w:val="001D6EE5"/>
    <w:rsid w:val="001F3F70"/>
    <w:rsid w:val="00205979"/>
    <w:rsid w:val="00231767"/>
    <w:rsid w:val="0023248B"/>
    <w:rsid w:val="002530E7"/>
    <w:rsid w:val="00254C28"/>
    <w:rsid w:val="0025522A"/>
    <w:rsid w:val="00263776"/>
    <w:rsid w:val="002B6386"/>
    <w:rsid w:val="002C1FCB"/>
    <w:rsid w:val="002E6971"/>
    <w:rsid w:val="002E7913"/>
    <w:rsid w:val="003E2DD2"/>
    <w:rsid w:val="003F35FD"/>
    <w:rsid w:val="00402787"/>
    <w:rsid w:val="0041184E"/>
    <w:rsid w:val="0044296F"/>
    <w:rsid w:val="0045618F"/>
    <w:rsid w:val="00470A02"/>
    <w:rsid w:val="00472431"/>
    <w:rsid w:val="0048543B"/>
    <w:rsid w:val="004A6B33"/>
    <w:rsid w:val="004B324F"/>
    <w:rsid w:val="004B417E"/>
    <w:rsid w:val="004E4F5D"/>
    <w:rsid w:val="00502816"/>
    <w:rsid w:val="005046E9"/>
    <w:rsid w:val="005C0F51"/>
    <w:rsid w:val="005C5B73"/>
    <w:rsid w:val="005D04A1"/>
    <w:rsid w:val="005F00D2"/>
    <w:rsid w:val="00625C7A"/>
    <w:rsid w:val="00626CFC"/>
    <w:rsid w:val="0063732D"/>
    <w:rsid w:val="00665DC4"/>
    <w:rsid w:val="006B0AFB"/>
    <w:rsid w:val="006B1F72"/>
    <w:rsid w:val="00733A0E"/>
    <w:rsid w:val="00756684"/>
    <w:rsid w:val="0076075A"/>
    <w:rsid w:val="007A5422"/>
    <w:rsid w:val="007A5C34"/>
    <w:rsid w:val="00801C63"/>
    <w:rsid w:val="008062CF"/>
    <w:rsid w:val="00821AC6"/>
    <w:rsid w:val="008949B9"/>
    <w:rsid w:val="008B022D"/>
    <w:rsid w:val="008C5917"/>
    <w:rsid w:val="008E5370"/>
    <w:rsid w:val="008F0155"/>
    <w:rsid w:val="00901D8E"/>
    <w:rsid w:val="00947D7D"/>
    <w:rsid w:val="00A138BC"/>
    <w:rsid w:val="00A25BEA"/>
    <w:rsid w:val="00A51B52"/>
    <w:rsid w:val="00A70018"/>
    <w:rsid w:val="00A75248"/>
    <w:rsid w:val="00A779E9"/>
    <w:rsid w:val="00A80EAB"/>
    <w:rsid w:val="00AB1BEC"/>
    <w:rsid w:val="00AD497E"/>
    <w:rsid w:val="00AD4AD2"/>
    <w:rsid w:val="00AE3653"/>
    <w:rsid w:val="00B05071"/>
    <w:rsid w:val="00B3496D"/>
    <w:rsid w:val="00B650B0"/>
    <w:rsid w:val="00BD5EE5"/>
    <w:rsid w:val="00C1724A"/>
    <w:rsid w:val="00C44E42"/>
    <w:rsid w:val="00C607CF"/>
    <w:rsid w:val="00CC028D"/>
    <w:rsid w:val="00CE14B4"/>
    <w:rsid w:val="00CE1C87"/>
    <w:rsid w:val="00D47703"/>
    <w:rsid w:val="00D7324C"/>
    <w:rsid w:val="00DA2D4F"/>
    <w:rsid w:val="00DF3A2B"/>
    <w:rsid w:val="00DF5231"/>
    <w:rsid w:val="00E219B1"/>
    <w:rsid w:val="00E65FE2"/>
    <w:rsid w:val="00EB445B"/>
    <w:rsid w:val="00ED6034"/>
    <w:rsid w:val="00EF415E"/>
    <w:rsid w:val="00EF6A14"/>
    <w:rsid w:val="00FB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95F"/>
  <w15:chartTrackingRefBased/>
  <w15:docId w15:val="{7B7ACAB6-5167-4C09-8AA5-6FE834E0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3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2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3732D"/>
    <w:pPr>
      <w:ind w:left="720"/>
      <w:contextualSpacing/>
    </w:pPr>
  </w:style>
  <w:style w:type="paragraph" w:customStyle="1" w:styleId="2Caps25">
    <w:name w:val="2 Caps (.25)"/>
    <w:basedOn w:val="ListParagraph"/>
    <w:qFormat/>
    <w:rsid w:val="0063732D"/>
    <w:pPr>
      <w:spacing w:after="20" w:line="247" w:lineRule="auto"/>
      <w:ind w:left="0"/>
      <w:contextualSpacing w:val="0"/>
    </w:pPr>
    <w:rPr>
      <w:rFonts w:ascii="Bookman Old Style" w:hAnsi="Bookman Old Style"/>
    </w:rPr>
  </w:style>
  <w:style w:type="paragraph" w:styleId="BalloonText">
    <w:name w:val="Balloon Text"/>
    <w:basedOn w:val="Normal"/>
    <w:link w:val="BalloonTextChar"/>
    <w:uiPriority w:val="99"/>
    <w:semiHidden/>
    <w:unhideWhenUsed/>
    <w:rsid w:val="00AD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AD2"/>
    <w:rPr>
      <w:rFonts w:ascii="Segoe UI" w:hAnsi="Segoe UI" w:cs="Segoe UI"/>
      <w:sz w:val="18"/>
      <w:szCs w:val="18"/>
    </w:rPr>
  </w:style>
  <w:style w:type="paragraph" w:styleId="Header">
    <w:name w:val="header"/>
    <w:basedOn w:val="Normal"/>
    <w:link w:val="HeaderChar"/>
    <w:uiPriority w:val="99"/>
    <w:unhideWhenUsed/>
    <w:rsid w:val="00A7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E9"/>
  </w:style>
  <w:style w:type="paragraph" w:styleId="Footer">
    <w:name w:val="footer"/>
    <w:basedOn w:val="Normal"/>
    <w:link w:val="FooterChar"/>
    <w:uiPriority w:val="99"/>
    <w:unhideWhenUsed/>
    <w:rsid w:val="00A77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E9"/>
  </w:style>
  <w:style w:type="character" w:styleId="CommentReference">
    <w:name w:val="annotation reference"/>
    <w:basedOn w:val="DefaultParagraphFont"/>
    <w:uiPriority w:val="99"/>
    <w:semiHidden/>
    <w:unhideWhenUsed/>
    <w:rsid w:val="008B022D"/>
    <w:rPr>
      <w:sz w:val="16"/>
      <w:szCs w:val="16"/>
    </w:rPr>
  </w:style>
  <w:style w:type="paragraph" w:styleId="CommentText">
    <w:name w:val="annotation text"/>
    <w:basedOn w:val="Normal"/>
    <w:link w:val="CommentTextChar"/>
    <w:uiPriority w:val="99"/>
    <w:semiHidden/>
    <w:unhideWhenUsed/>
    <w:rsid w:val="008B022D"/>
    <w:pPr>
      <w:spacing w:line="240" w:lineRule="auto"/>
    </w:pPr>
    <w:rPr>
      <w:sz w:val="20"/>
      <w:szCs w:val="20"/>
    </w:rPr>
  </w:style>
  <w:style w:type="character" w:customStyle="1" w:styleId="CommentTextChar">
    <w:name w:val="Comment Text Char"/>
    <w:basedOn w:val="DefaultParagraphFont"/>
    <w:link w:val="CommentText"/>
    <w:uiPriority w:val="99"/>
    <w:semiHidden/>
    <w:rsid w:val="008B022D"/>
    <w:rPr>
      <w:sz w:val="20"/>
      <w:szCs w:val="20"/>
    </w:rPr>
  </w:style>
  <w:style w:type="paragraph" w:styleId="CommentSubject">
    <w:name w:val="annotation subject"/>
    <w:basedOn w:val="CommentText"/>
    <w:next w:val="CommentText"/>
    <w:link w:val="CommentSubjectChar"/>
    <w:uiPriority w:val="99"/>
    <w:semiHidden/>
    <w:unhideWhenUsed/>
    <w:rsid w:val="008B022D"/>
    <w:rPr>
      <w:b/>
      <w:bCs/>
    </w:rPr>
  </w:style>
  <w:style w:type="character" w:customStyle="1" w:styleId="CommentSubjectChar">
    <w:name w:val="Comment Subject Char"/>
    <w:basedOn w:val="CommentTextChar"/>
    <w:link w:val="CommentSubject"/>
    <w:uiPriority w:val="99"/>
    <w:semiHidden/>
    <w:rsid w:val="008B022D"/>
    <w:rPr>
      <w:b/>
      <w:bCs/>
      <w:sz w:val="20"/>
      <w:szCs w:val="20"/>
    </w:rPr>
  </w:style>
  <w:style w:type="paragraph" w:styleId="FootnoteText">
    <w:name w:val="footnote text"/>
    <w:basedOn w:val="Normal"/>
    <w:link w:val="FootnoteTextChar"/>
    <w:uiPriority w:val="99"/>
    <w:semiHidden/>
    <w:unhideWhenUsed/>
    <w:rsid w:val="00C17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24A"/>
    <w:rPr>
      <w:sz w:val="20"/>
      <w:szCs w:val="20"/>
    </w:rPr>
  </w:style>
  <w:style w:type="character" w:styleId="FootnoteReference">
    <w:name w:val="footnote reference"/>
    <w:basedOn w:val="DefaultParagraphFont"/>
    <w:uiPriority w:val="99"/>
    <w:semiHidden/>
    <w:unhideWhenUsed/>
    <w:rsid w:val="00C1724A"/>
    <w:rPr>
      <w:vertAlign w:val="superscript"/>
    </w:rPr>
  </w:style>
  <w:style w:type="character" w:styleId="Hyperlink">
    <w:name w:val="Hyperlink"/>
    <w:basedOn w:val="DefaultParagraphFont"/>
    <w:uiPriority w:val="99"/>
    <w:unhideWhenUsed/>
    <w:rsid w:val="00C607CF"/>
    <w:rPr>
      <w:color w:val="0563C1" w:themeColor="hyperlink"/>
      <w:u w:val="single"/>
    </w:rPr>
  </w:style>
  <w:style w:type="character" w:styleId="UnresolvedMention">
    <w:name w:val="Unresolved Mention"/>
    <w:basedOn w:val="DefaultParagraphFont"/>
    <w:uiPriority w:val="99"/>
    <w:semiHidden/>
    <w:unhideWhenUsed/>
    <w:rsid w:val="00C6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b.uscourts.gov/local-sampl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E457-05AE-7E4A-9001-F80AC3FE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 Ludwig</dc:creator>
  <cp:keywords/>
  <dc:description/>
  <cp:lastModifiedBy>Sean McDermott</cp:lastModifiedBy>
  <cp:revision>2</cp:revision>
  <cp:lastPrinted>2019-11-04T20:45:00Z</cp:lastPrinted>
  <dcterms:created xsi:type="dcterms:W3CDTF">2019-11-06T20:01:00Z</dcterms:created>
  <dcterms:modified xsi:type="dcterms:W3CDTF">2019-11-06T20:01:00Z</dcterms:modified>
</cp:coreProperties>
</file>