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3981A" w14:textId="77777777" w:rsidR="00C76E77" w:rsidRDefault="00C76E77">
      <w:pPr>
        <w:pStyle w:val="BodyText"/>
        <w:rPr>
          <w:rFonts w:ascii="Times New Roman"/>
          <w:sz w:val="20"/>
        </w:rPr>
      </w:pPr>
    </w:p>
    <w:p w14:paraId="619ED052" w14:textId="77777777" w:rsidR="00C76E77" w:rsidRDefault="00C76E77">
      <w:pPr>
        <w:pStyle w:val="BodyText"/>
        <w:rPr>
          <w:rFonts w:ascii="Times New Roman"/>
          <w:sz w:val="20"/>
        </w:rPr>
      </w:pPr>
    </w:p>
    <w:p w14:paraId="24AAC071" w14:textId="77777777" w:rsidR="00C76E77" w:rsidRDefault="00C76E77">
      <w:pPr>
        <w:pStyle w:val="BodyText"/>
        <w:rPr>
          <w:rFonts w:ascii="Times New Roman"/>
          <w:sz w:val="20"/>
        </w:rPr>
      </w:pPr>
    </w:p>
    <w:p w14:paraId="45A5830C" w14:textId="77777777" w:rsidR="00C76E77" w:rsidRDefault="00C76E77">
      <w:pPr>
        <w:pStyle w:val="BodyText"/>
        <w:rPr>
          <w:rFonts w:ascii="Times New Roman"/>
          <w:sz w:val="20"/>
        </w:rPr>
      </w:pPr>
    </w:p>
    <w:p w14:paraId="79A12E96" w14:textId="77777777" w:rsidR="00C76E77" w:rsidRDefault="00C76E77">
      <w:pPr>
        <w:pStyle w:val="BodyText"/>
        <w:rPr>
          <w:rFonts w:ascii="Times New Roman"/>
          <w:sz w:val="20"/>
        </w:rPr>
      </w:pPr>
    </w:p>
    <w:p w14:paraId="3785186B" w14:textId="77777777" w:rsidR="00C76E77" w:rsidRDefault="00C76E77">
      <w:pPr>
        <w:pStyle w:val="BodyText"/>
        <w:rPr>
          <w:rFonts w:ascii="Times New Roman"/>
          <w:sz w:val="20"/>
        </w:rPr>
      </w:pPr>
    </w:p>
    <w:p w14:paraId="08069851" w14:textId="77777777" w:rsidR="00C76E77" w:rsidRDefault="00C76E77">
      <w:pPr>
        <w:pStyle w:val="BodyText"/>
        <w:rPr>
          <w:rFonts w:ascii="Times New Roman"/>
          <w:sz w:val="20"/>
        </w:rPr>
      </w:pPr>
    </w:p>
    <w:p w14:paraId="000E0DEF" w14:textId="77777777" w:rsidR="00C76E77" w:rsidRDefault="00C76E77">
      <w:pPr>
        <w:pStyle w:val="BodyText"/>
        <w:rPr>
          <w:rFonts w:ascii="Times New Roman"/>
          <w:sz w:val="20"/>
        </w:rPr>
      </w:pPr>
    </w:p>
    <w:p w14:paraId="36392746" w14:textId="77777777" w:rsidR="00C76E77" w:rsidRDefault="00C76E77">
      <w:pPr>
        <w:pStyle w:val="BodyText"/>
        <w:rPr>
          <w:rFonts w:ascii="Times New Roman"/>
          <w:sz w:val="20"/>
        </w:rPr>
      </w:pPr>
    </w:p>
    <w:p w14:paraId="49A46AAB" w14:textId="77777777" w:rsidR="00C76E77" w:rsidRDefault="00C76E77">
      <w:pPr>
        <w:pStyle w:val="BodyText"/>
        <w:rPr>
          <w:rFonts w:ascii="Times New Roman"/>
          <w:sz w:val="20"/>
        </w:rPr>
      </w:pPr>
    </w:p>
    <w:p w14:paraId="439CF91D" w14:textId="77777777" w:rsidR="00C76E77" w:rsidRDefault="00C76E77">
      <w:pPr>
        <w:pStyle w:val="BodyText"/>
        <w:rPr>
          <w:rFonts w:ascii="Times New Roman"/>
          <w:sz w:val="20"/>
        </w:rPr>
      </w:pPr>
    </w:p>
    <w:p w14:paraId="780DA2F3" w14:textId="77777777" w:rsidR="00C76E77" w:rsidRDefault="00C76E77">
      <w:pPr>
        <w:pStyle w:val="BodyText"/>
        <w:rPr>
          <w:rFonts w:ascii="Times New Roman"/>
          <w:sz w:val="20"/>
        </w:rPr>
      </w:pPr>
    </w:p>
    <w:p w14:paraId="3E31472D" w14:textId="77777777" w:rsidR="00C76E77" w:rsidRDefault="00C76E77">
      <w:pPr>
        <w:pStyle w:val="BodyText"/>
        <w:rPr>
          <w:rFonts w:ascii="Times New Roman"/>
          <w:sz w:val="20"/>
        </w:rPr>
      </w:pPr>
    </w:p>
    <w:p w14:paraId="03846FC7" w14:textId="77777777" w:rsidR="00C76E77" w:rsidRDefault="00AC1B78">
      <w:pPr>
        <w:pStyle w:val="BodyText"/>
        <w:spacing w:before="189"/>
        <w:ind w:left="2190" w:right="2050" w:firstLine="342"/>
      </w:pPr>
      <w:r>
        <w:t>UNITED STATES BANKRUPTCY COURT FOR THE EASTERN DISTRICT OF WISCONSIN</w:t>
      </w:r>
    </w:p>
    <w:p w14:paraId="0AC0E463" w14:textId="77777777" w:rsidR="00C76E77" w:rsidRDefault="004F725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2AFF1D7" wp14:editId="72DD956D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12065" r="9525" b="698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81819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6.65pt" to="54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MLHA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" strokeweight=".96pt">
                <w10:wrap type="topAndBottom" anchorx="page"/>
              </v:line>
            </w:pict>
          </mc:Fallback>
        </mc:AlternateContent>
      </w:r>
    </w:p>
    <w:p w14:paraId="25065B32" w14:textId="77777777" w:rsidR="00C76E77" w:rsidRDefault="00C76E77">
      <w:pPr>
        <w:pStyle w:val="BodyText"/>
        <w:spacing w:before="1"/>
        <w:rPr>
          <w:sz w:val="20"/>
        </w:rPr>
      </w:pPr>
    </w:p>
    <w:p w14:paraId="7FE54D99" w14:textId="77777777" w:rsidR="00C76E77" w:rsidRDefault="00AC1B78">
      <w:pPr>
        <w:pStyle w:val="BodyText"/>
        <w:spacing w:before="24"/>
        <w:ind w:left="120"/>
      </w:pPr>
      <w:r>
        <w:t>In re:</w:t>
      </w:r>
    </w:p>
    <w:p w14:paraId="1ADEEEE1" w14:textId="77777777" w:rsidR="00C76E77" w:rsidRDefault="00C76E77">
      <w:pPr>
        <w:pStyle w:val="BodyText"/>
        <w:spacing w:before="3"/>
        <w:rPr>
          <w:sz w:val="22"/>
        </w:rPr>
      </w:pPr>
    </w:p>
    <w:p w14:paraId="757EF0CC" w14:textId="77777777" w:rsidR="00C76E77" w:rsidRDefault="00AC1B78">
      <w:pPr>
        <w:pStyle w:val="BodyText"/>
        <w:tabs>
          <w:tab w:val="left" w:pos="5159"/>
        </w:tabs>
        <w:spacing w:before="24"/>
        <w:ind w:left="840"/>
      </w:pPr>
      <w:r>
        <w:t>Daniel</w:t>
      </w:r>
      <w:r>
        <w:rPr>
          <w:spacing w:val="-1"/>
        </w:rPr>
        <w:t xml:space="preserve"> </w:t>
      </w:r>
      <w:r>
        <w:t>Detter,</w:t>
      </w:r>
      <w:r>
        <w:tab/>
        <w:t>Chapter</w:t>
      </w:r>
      <w:r>
        <w:rPr>
          <w:spacing w:val="-1"/>
        </w:rPr>
        <w:t xml:space="preserve"> </w:t>
      </w:r>
      <w:r>
        <w:t>13</w:t>
      </w:r>
    </w:p>
    <w:p w14:paraId="21E8B1C1" w14:textId="77777777" w:rsidR="00C76E77" w:rsidRDefault="00C76E77">
      <w:pPr>
        <w:pStyle w:val="BodyText"/>
      </w:pPr>
    </w:p>
    <w:p w14:paraId="76F80576" w14:textId="180FEE74" w:rsidR="00C76E77" w:rsidRDefault="00AC1B78">
      <w:pPr>
        <w:pStyle w:val="BodyText"/>
        <w:tabs>
          <w:tab w:val="left" w:pos="5159"/>
        </w:tabs>
        <w:ind w:left="1560"/>
      </w:pPr>
      <w:r>
        <w:t>Debtor.</w:t>
      </w:r>
      <w:r>
        <w:tab/>
        <w:t>Case No.</w:t>
      </w:r>
      <w:r>
        <w:rPr>
          <w:spacing w:val="-1"/>
        </w:rPr>
        <w:t xml:space="preserve"> </w:t>
      </w:r>
      <w:r w:rsidR="005C1FB4">
        <w:t>20</w:t>
      </w:r>
      <w:r>
        <w:t>‐00000‐</w:t>
      </w:r>
      <w:r w:rsidR="005C1FB4">
        <w:t>ABC</w:t>
      </w:r>
    </w:p>
    <w:p w14:paraId="23F68398" w14:textId="77777777" w:rsidR="00C76E77" w:rsidRDefault="004F725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BA6C03" wp14:editId="3FCE7AD8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ABA6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6.65pt" to="54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O7HQIAAEIEAAAOAAAAZHJzL2Uyb0RvYy54bWysU02P2jAQvVfqf7Byh3yQpR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" strokeweight=".96pt">
                <w10:wrap type="topAndBottom" anchorx="page"/>
              </v:line>
            </w:pict>
          </mc:Fallback>
        </mc:AlternateContent>
      </w:r>
    </w:p>
    <w:p w14:paraId="43231E48" w14:textId="77777777" w:rsidR="00C76E77" w:rsidRDefault="00C76E77">
      <w:pPr>
        <w:pStyle w:val="BodyText"/>
        <w:spacing w:before="10"/>
        <w:rPr>
          <w:sz w:val="21"/>
        </w:rPr>
      </w:pPr>
    </w:p>
    <w:p w14:paraId="7B45EE6D" w14:textId="1486D51A" w:rsidR="00073109" w:rsidRDefault="00AC1B78">
      <w:pPr>
        <w:jc w:val="center"/>
        <w:rPr>
          <w:b/>
          <w:sz w:val="24"/>
        </w:rPr>
      </w:pPr>
      <w:r>
        <w:rPr>
          <w:b/>
          <w:sz w:val="24"/>
        </w:rPr>
        <w:t xml:space="preserve">ORDER </w:t>
      </w:r>
      <w:r w:rsidR="007C32C7">
        <w:rPr>
          <w:b/>
          <w:sz w:val="24"/>
        </w:rPr>
        <w:t>ON</w:t>
      </w:r>
      <w:r>
        <w:rPr>
          <w:b/>
          <w:sz w:val="24"/>
        </w:rPr>
        <w:t xml:space="preserve"> MOTION FOR RELIEF FROM THE AUTOMATIC STAY</w:t>
      </w:r>
    </w:p>
    <w:p w14:paraId="354D959C" w14:textId="13041858" w:rsidR="00C76E77" w:rsidRDefault="00073109" w:rsidP="00A7265B">
      <w:pPr>
        <w:jc w:val="center"/>
        <w:rPr>
          <w:b/>
          <w:sz w:val="24"/>
        </w:rPr>
      </w:pPr>
      <w:r>
        <w:rPr>
          <w:b/>
          <w:sz w:val="24"/>
        </w:rPr>
        <w:t>[</w:t>
      </w:r>
      <w:r w:rsidRPr="00A7265B">
        <w:rPr>
          <w:b/>
          <w:sz w:val="24"/>
          <w:highlight w:val="lightGray"/>
        </w:rPr>
        <w:t>RESOLUTION BASED ON AGREEMENT/STIPULATION</w:t>
      </w:r>
      <w:r>
        <w:rPr>
          <w:b/>
          <w:sz w:val="24"/>
        </w:rPr>
        <w:t>]</w:t>
      </w:r>
      <w:r w:rsidR="007C32C7">
        <w:rPr>
          <w:b/>
          <w:sz w:val="24"/>
        </w:rPr>
        <w:t xml:space="preserve"> </w:t>
      </w:r>
    </w:p>
    <w:p w14:paraId="7C715942" w14:textId="77777777" w:rsidR="00C76E77" w:rsidRDefault="004F7258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F4B7C72" wp14:editId="3DF2024C">
                <wp:simplePos x="0" y="0"/>
                <wp:positionH relativeFrom="page">
                  <wp:posOffset>914400</wp:posOffset>
                </wp:positionH>
                <wp:positionV relativeFrom="paragraph">
                  <wp:posOffset>212090</wp:posOffset>
                </wp:positionV>
                <wp:extent cx="5943600" cy="0"/>
                <wp:effectExtent l="9525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3691C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6.7pt" to="54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" strokeweight=".96pt">
                <w10:wrap type="topAndBottom" anchorx="page"/>
              </v:line>
            </w:pict>
          </mc:Fallback>
        </mc:AlternateContent>
      </w:r>
    </w:p>
    <w:p w14:paraId="237A4625" w14:textId="77777777" w:rsidR="00C76E77" w:rsidRDefault="00C76E77">
      <w:pPr>
        <w:pStyle w:val="BodyText"/>
        <w:spacing w:before="11"/>
        <w:rPr>
          <w:b/>
          <w:sz w:val="21"/>
        </w:rPr>
      </w:pPr>
    </w:p>
    <w:p w14:paraId="14578D91" w14:textId="363B9163" w:rsidR="007C32C7" w:rsidRDefault="007C32C7">
      <w:pPr>
        <w:pStyle w:val="BodyText"/>
        <w:tabs>
          <w:tab w:val="left" w:pos="6676"/>
        </w:tabs>
        <w:ind w:left="120" w:right="288" w:firstLine="720"/>
      </w:pPr>
      <w:r>
        <w:rPr>
          <w:spacing w:val="-5"/>
        </w:rPr>
        <w:t>On</w:t>
      </w:r>
      <w:r w:rsidR="00AC1B78">
        <w:rPr>
          <w:spacing w:val="-5"/>
        </w:rPr>
        <w:t xml:space="preserve"> </w:t>
      </w:r>
      <w:r w:rsidR="00073109">
        <w:rPr>
          <w:spacing w:val="-5"/>
        </w:rPr>
        <w:t>[</w:t>
      </w:r>
      <w:r w:rsidR="00073109" w:rsidRPr="00A7265B">
        <w:rPr>
          <w:spacing w:val="-5"/>
          <w:highlight w:val="lightGray"/>
        </w:rPr>
        <w:t>DATE</w:t>
      </w:r>
      <w:r w:rsidR="00073109">
        <w:rPr>
          <w:spacing w:val="-5"/>
        </w:rPr>
        <w:t xml:space="preserve">], </w:t>
      </w:r>
      <w:r w:rsidR="00AC1B78">
        <w:t>[</w:t>
      </w:r>
      <w:r w:rsidR="00AC1B78" w:rsidRPr="00A7265B">
        <w:rPr>
          <w:highlight w:val="lightGray"/>
          <w:u w:val="single"/>
        </w:rPr>
        <w:t>C</w:t>
      </w:r>
      <w:r w:rsidR="00073109" w:rsidRPr="00A7265B">
        <w:rPr>
          <w:highlight w:val="lightGray"/>
          <w:u w:val="single"/>
        </w:rPr>
        <w:t>REDITOR</w:t>
      </w:r>
      <w:r w:rsidR="00AC1B78">
        <w:t xml:space="preserve">] </w:t>
      </w:r>
      <w:r w:rsidR="00073109">
        <w:t xml:space="preserve">(“Creditor”) </w:t>
      </w:r>
      <w:r>
        <w:t xml:space="preserve">filed a motion </w:t>
      </w:r>
      <w:r w:rsidR="00AC1B78">
        <w:t xml:space="preserve">for relief from </w:t>
      </w:r>
      <w:r>
        <w:t>the 11</w:t>
      </w:r>
      <w:r w:rsidR="00073109">
        <w:t> </w:t>
      </w:r>
      <w:r>
        <w:t xml:space="preserve">U.S.C. §362(a) stay </w:t>
      </w:r>
      <w:r w:rsidR="00073109">
        <w:t xml:space="preserve">to pursue its lien rights in </w:t>
      </w:r>
      <w:r w:rsidR="00AC1B78">
        <w:t>[</w:t>
      </w:r>
      <w:r w:rsidR="00AC1B78" w:rsidRPr="00A7265B">
        <w:rPr>
          <w:highlight w:val="lightGray"/>
          <w:u w:val="single"/>
        </w:rPr>
        <w:t>C</w:t>
      </w:r>
      <w:r w:rsidR="00073109" w:rsidRPr="00A7265B">
        <w:rPr>
          <w:highlight w:val="lightGray"/>
          <w:u w:val="single"/>
        </w:rPr>
        <w:t>OLLATERAL</w:t>
      </w:r>
      <w:r w:rsidR="00073109">
        <w:rPr>
          <w:u w:val="single"/>
        </w:rPr>
        <w:t xml:space="preserve"> </w:t>
      </w:r>
      <w:r w:rsidR="00073109" w:rsidRPr="00A7265B">
        <w:rPr>
          <w:highlight w:val="lightGray"/>
          <w:u w:val="single"/>
        </w:rPr>
        <w:t>DESCRIPTION</w:t>
      </w:r>
      <w:r w:rsidR="00AC1B78">
        <w:t>].</w:t>
      </w:r>
      <w:r>
        <w:t xml:space="preserve"> </w:t>
      </w:r>
      <w:r w:rsidR="00073109">
        <w:t>The Creditor and the Debtor have agreed</w:t>
      </w:r>
      <w:r>
        <w:t xml:space="preserve"> </w:t>
      </w:r>
      <w:r w:rsidR="00073109">
        <w:t xml:space="preserve">to resolve the motion. A copy of their agreement is </w:t>
      </w:r>
      <w:r>
        <w:t>attached to this order [</w:t>
      </w:r>
      <w:r w:rsidRPr="00A7265B">
        <w:rPr>
          <w:highlight w:val="lightGray"/>
        </w:rPr>
        <w:t>NOTE TO COUNSEL: YOU MUST FILE THE STIPULATION AS AN ATTACHMENT TO THE PROPOSED ORDER</w:t>
      </w:r>
      <w:r>
        <w:t xml:space="preserve">]. </w:t>
      </w:r>
    </w:p>
    <w:p w14:paraId="65A4C7F6" w14:textId="77777777" w:rsidR="007C32C7" w:rsidRDefault="007C32C7">
      <w:pPr>
        <w:pStyle w:val="BodyText"/>
        <w:tabs>
          <w:tab w:val="left" w:pos="6676"/>
        </w:tabs>
        <w:ind w:left="120" w:right="288" w:firstLine="720"/>
      </w:pPr>
    </w:p>
    <w:p w14:paraId="1D9B3209" w14:textId="2ABA577F" w:rsidR="00B26232" w:rsidRDefault="007C32C7">
      <w:pPr>
        <w:pStyle w:val="BodyText"/>
        <w:spacing w:before="23"/>
        <w:ind w:left="120" w:right="263" w:firstLine="720"/>
      </w:pPr>
      <w:r>
        <w:t xml:space="preserve">Based on the </w:t>
      </w:r>
      <w:r w:rsidR="00073109">
        <w:t>record and the attached agreement</w:t>
      </w:r>
      <w:r>
        <w:t xml:space="preserve">, </w:t>
      </w:r>
      <w:r w:rsidR="00AC1B78">
        <w:rPr>
          <w:b/>
        </w:rPr>
        <w:t>IT IS ORDERED</w:t>
      </w:r>
      <w:r w:rsidR="00B26232">
        <w:t>:</w:t>
      </w:r>
    </w:p>
    <w:p w14:paraId="276DFC70" w14:textId="77777777" w:rsidR="00B26232" w:rsidRDefault="00B26232">
      <w:pPr>
        <w:pStyle w:val="BodyText"/>
        <w:spacing w:before="23"/>
        <w:ind w:left="120" w:right="263" w:firstLine="720"/>
      </w:pPr>
    </w:p>
    <w:p w14:paraId="4E61E5A9" w14:textId="28393648" w:rsidR="00B26232" w:rsidRDefault="00B26232" w:rsidP="00B26232">
      <w:pPr>
        <w:pStyle w:val="BodyText"/>
        <w:spacing w:before="23"/>
        <w:ind w:left="120" w:right="263" w:firstLine="720"/>
      </w:pPr>
      <w:r>
        <w:t>T</w:t>
      </w:r>
      <w:r w:rsidR="007C32C7">
        <w:t>he stay imposed by 11 U.S.C. §362(a) is modified to the extent necessary to give effect</w:t>
      </w:r>
      <w:r w:rsidR="00AC1B78">
        <w:t xml:space="preserve"> to the conditions stated in the </w:t>
      </w:r>
      <w:r w:rsidR="00073109">
        <w:t xml:space="preserve">agreement </w:t>
      </w:r>
      <w:r w:rsidR="007C32C7">
        <w:t>attached to this order</w:t>
      </w:r>
      <w:r w:rsidR="00AC1B78">
        <w:t>.</w:t>
      </w:r>
      <w:r w:rsidR="007C32C7">
        <w:t xml:space="preserve"> </w:t>
      </w:r>
      <w:r>
        <w:t xml:space="preserve">The motion is otherwise denied. </w:t>
      </w:r>
    </w:p>
    <w:p w14:paraId="35E432B6" w14:textId="0E7A3FB2" w:rsidR="00AA436D" w:rsidRDefault="00AA436D" w:rsidP="00B26232">
      <w:pPr>
        <w:pStyle w:val="BodyText"/>
        <w:spacing w:before="23"/>
        <w:ind w:left="120" w:right="263" w:firstLine="720"/>
      </w:pPr>
    </w:p>
    <w:p w14:paraId="5A9B95FD" w14:textId="6398854C" w:rsidR="00AA436D" w:rsidRDefault="00AA436D" w:rsidP="00AA436D">
      <w:pPr>
        <w:pStyle w:val="BodyText"/>
        <w:spacing w:before="23"/>
        <w:ind w:left="120" w:right="263" w:firstLine="720"/>
      </w:pPr>
      <w:r w:rsidRPr="00AA436D">
        <w:t xml:space="preserve">IT IS FURTHER ORDERED that the movant may file a supplemental claim for the post-petition arrearage </w:t>
      </w:r>
      <w:r w:rsidR="005C1FB4">
        <w:t>that</w:t>
      </w:r>
      <w:r w:rsidRPr="00AA436D">
        <w:t xml:space="preserve"> exists through </w:t>
      </w:r>
      <w:r>
        <w:rPr>
          <w:spacing w:val="-5"/>
        </w:rPr>
        <w:t>[</w:t>
      </w:r>
      <w:r w:rsidRPr="00A7265B">
        <w:rPr>
          <w:spacing w:val="-5"/>
          <w:highlight w:val="lightGray"/>
        </w:rPr>
        <w:t>DATE</w:t>
      </w:r>
      <w:r>
        <w:rPr>
          <w:spacing w:val="-5"/>
        </w:rPr>
        <w:t xml:space="preserve">] </w:t>
      </w:r>
      <w:r w:rsidRPr="00AA436D">
        <w:t>(excluding the movant’s attorney</w:t>
      </w:r>
      <w:r w:rsidR="005C1FB4">
        <w:t>’</w:t>
      </w:r>
      <w:r w:rsidRPr="00AA436D">
        <w:t xml:space="preserve">s fees and costs incurred with respect to this motion, which are addressed </w:t>
      </w:r>
      <w:r w:rsidRPr="00AA436D">
        <w:lastRenderedPageBreak/>
        <w:t xml:space="preserve">below) in the amount of </w:t>
      </w:r>
      <w:r>
        <w:rPr>
          <w:spacing w:val="-5"/>
        </w:rPr>
        <w:t>[</w:t>
      </w:r>
      <w:r w:rsidRPr="00E25405">
        <w:rPr>
          <w:spacing w:val="-5"/>
          <w:highlight w:val="lightGray"/>
        </w:rPr>
        <w:t>$AMOUNT</w:t>
      </w:r>
      <w:r>
        <w:rPr>
          <w:spacing w:val="-5"/>
        </w:rPr>
        <w:t>]</w:t>
      </w:r>
      <w:r w:rsidRPr="00AA436D">
        <w:t>.  This arrearage is itemized as follows:</w:t>
      </w:r>
    </w:p>
    <w:p w14:paraId="68F47E52" w14:textId="77777777" w:rsidR="00AA436D" w:rsidRPr="00AA436D" w:rsidRDefault="00AA436D" w:rsidP="00AA436D">
      <w:pPr>
        <w:pStyle w:val="BodyText"/>
        <w:spacing w:before="23"/>
        <w:ind w:left="120" w:right="263" w:firstLine="720"/>
      </w:pPr>
    </w:p>
    <w:p w14:paraId="1DD5DEFB" w14:textId="6D3EA41A" w:rsidR="00AA436D" w:rsidRDefault="00AA436D" w:rsidP="00AA436D">
      <w:pPr>
        <w:pStyle w:val="BodyText"/>
        <w:spacing w:before="23"/>
        <w:ind w:left="120" w:right="263" w:firstLine="720"/>
      </w:pPr>
      <w:r w:rsidRPr="00AA436D">
        <w:t>[</w:t>
      </w:r>
      <w:r w:rsidRPr="000F7331">
        <w:rPr>
          <w:highlight w:val="lightGray"/>
        </w:rPr>
        <w:t>Itemized arrearage excluding attorney</w:t>
      </w:r>
      <w:r w:rsidR="005C1FB4" w:rsidRPr="000F7331">
        <w:rPr>
          <w:highlight w:val="lightGray"/>
        </w:rPr>
        <w:t>’</w:t>
      </w:r>
      <w:r w:rsidRPr="000F7331">
        <w:rPr>
          <w:highlight w:val="lightGray"/>
        </w:rPr>
        <w:t>s fees and costs here</w:t>
      </w:r>
      <w:r w:rsidRPr="00AA436D">
        <w:t>]</w:t>
      </w:r>
      <w:r w:rsidR="005C1FB4">
        <w:t>.</w:t>
      </w:r>
    </w:p>
    <w:p w14:paraId="773446B3" w14:textId="77777777" w:rsidR="00AA436D" w:rsidRPr="00AA436D" w:rsidRDefault="00AA436D" w:rsidP="00AA436D">
      <w:pPr>
        <w:pStyle w:val="BodyText"/>
        <w:spacing w:before="23"/>
        <w:ind w:left="120" w:right="263" w:firstLine="720"/>
      </w:pPr>
    </w:p>
    <w:p w14:paraId="02EA3F66" w14:textId="479FD386" w:rsidR="00AA436D" w:rsidRDefault="00AA436D" w:rsidP="00AA436D">
      <w:pPr>
        <w:pStyle w:val="BodyText"/>
        <w:spacing w:before="23"/>
        <w:ind w:left="120" w:right="263" w:firstLine="720"/>
      </w:pPr>
      <w:r w:rsidRPr="00AA436D">
        <w:t>IT IS FURTHER ORDERED that with respect to the movant’s attorney</w:t>
      </w:r>
      <w:r w:rsidR="005C1FB4">
        <w:t>’</w:t>
      </w:r>
      <w:r w:rsidRPr="00AA436D">
        <w:t xml:space="preserve">s fees of </w:t>
      </w:r>
      <w:r>
        <w:rPr>
          <w:spacing w:val="-5"/>
        </w:rPr>
        <w:t>[</w:t>
      </w:r>
      <w:r w:rsidRPr="004C1B47">
        <w:rPr>
          <w:spacing w:val="-5"/>
          <w:highlight w:val="lightGray"/>
        </w:rPr>
        <w:t>$AMOUNT</w:t>
      </w:r>
      <w:r>
        <w:rPr>
          <w:spacing w:val="-5"/>
        </w:rPr>
        <w:t>]</w:t>
      </w:r>
      <w:r>
        <w:t xml:space="preserve"> </w:t>
      </w:r>
      <w:r w:rsidRPr="00AA436D">
        <w:t xml:space="preserve">and costs of </w:t>
      </w:r>
      <w:r>
        <w:rPr>
          <w:spacing w:val="-5"/>
        </w:rPr>
        <w:t>[</w:t>
      </w:r>
      <w:r w:rsidRPr="004C1B47">
        <w:rPr>
          <w:spacing w:val="-5"/>
          <w:highlight w:val="lightGray"/>
        </w:rPr>
        <w:t>$AMOUNT</w:t>
      </w:r>
      <w:r>
        <w:rPr>
          <w:spacing w:val="-5"/>
        </w:rPr>
        <w:t>]</w:t>
      </w:r>
      <w:r w:rsidRPr="00AA436D">
        <w:t>, the movant may file a notice pursuant to F</w:t>
      </w:r>
      <w:r>
        <w:t>ederal Rule of Bankruptcy Procedure</w:t>
      </w:r>
      <w:r w:rsidRPr="00AA436D">
        <w:t xml:space="preserve"> 3002.1(c) for these </w:t>
      </w:r>
      <w:r>
        <w:t>fees and costs</w:t>
      </w:r>
      <w:r w:rsidRPr="00AA436D">
        <w:t xml:space="preserve">. The notice </w:t>
      </w:r>
      <w:r w:rsidR="005C1FB4">
        <w:t>will constitute</w:t>
      </w:r>
      <w:r w:rsidRPr="00AA436D">
        <w:t xml:space="preserve"> a supplemental clai</w:t>
      </w:r>
      <w:r w:rsidR="00E25405">
        <w:t xml:space="preserve">m, which </w:t>
      </w:r>
      <w:r w:rsidR="00E25405" w:rsidRPr="00E25405">
        <w:t xml:space="preserve">the trustee will pay </w:t>
      </w:r>
      <w:r w:rsidRPr="00E25405">
        <w:t xml:space="preserve">pro rata </w:t>
      </w:r>
      <w:r w:rsidR="00877A4E" w:rsidRPr="00E25405">
        <w:t>when the trustee pays other</w:t>
      </w:r>
      <w:r w:rsidRPr="00E25405">
        <w:t xml:space="preserve"> secured </w:t>
      </w:r>
      <w:r w:rsidR="00E25405" w:rsidRPr="00E25405">
        <w:t>creditors</w:t>
      </w:r>
      <w:r w:rsidRPr="00E25405">
        <w:t>.</w:t>
      </w:r>
    </w:p>
    <w:p w14:paraId="52054DA3" w14:textId="77777777" w:rsidR="00B26232" w:rsidRDefault="00B26232">
      <w:pPr>
        <w:pStyle w:val="BodyText"/>
        <w:spacing w:before="23"/>
        <w:ind w:left="120" w:right="263" w:firstLine="720"/>
      </w:pPr>
    </w:p>
    <w:p w14:paraId="66F00762" w14:textId="59828E79" w:rsidR="00B26232" w:rsidRPr="00B26232" w:rsidRDefault="00B26232">
      <w:pPr>
        <w:pStyle w:val="BodyText"/>
        <w:spacing w:before="23"/>
        <w:ind w:left="120" w:right="263" w:firstLine="720"/>
      </w:pPr>
      <w:r>
        <w:t>[</w:t>
      </w:r>
      <w:r w:rsidRPr="00A7265B">
        <w:rPr>
          <w:highlight w:val="lightGray"/>
        </w:rPr>
        <w:t>ADD IF AGREEMENT PROVIDES FOR DOOMSDAY TERM</w:t>
      </w:r>
      <w:r>
        <w:t>] T</w:t>
      </w:r>
      <w:r w:rsidRPr="00B26232">
        <w:t xml:space="preserve">his order is a Doomsday Order under </w:t>
      </w:r>
      <w:r w:rsidR="005C1FB4">
        <w:t>the</w:t>
      </w:r>
      <w:r w:rsidR="005C1FB4" w:rsidRPr="00B26232">
        <w:t xml:space="preserve"> </w:t>
      </w:r>
      <w:r w:rsidRPr="00B26232">
        <w:t>court’s Uniform Procedure for Doomsday Orders; it incorporates and is subject to the Uniform Procedure for Doomsday Orders.</w:t>
      </w:r>
    </w:p>
    <w:p w14:paraId="4B900A17" w14:textId="77777777" w:rsidR="00C76E77" w:rsidRDefault="00C76E77">
      <w:pPr>
        <w:pStyle w:val="BodyText"/>
      </w:pPr>
    </w:p>
    <w:p w14:paraId="59DB0732" w14:textId="77777777" w:rsidR="00C76E77" w:rsidRDefault="00AC1B78">
      <w:pPr>
        <w:pStyle w:val="BodyText"/>
        <w:ind w:left="4732" w:right="3993"/>
        <w:jc w:val="center"/>
      </w:pPr>
      <w:r>
        <w:t># # # # #</w:t>
      </w:r>
    </w:p>
    <w:sectPr w:rsidR="00C76E77" w:rsidSect="00E25405">
      <w:type w:val="continuous"/>
      <w:pgSz w:w="12240" w:h="15840"/>
      <w:pgMar w:top="1500" w:right="1340" w:bottom="117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6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77"/>
    <w:rsid w:val="00073109"/>
    <w:rsid w:val="000F7331"/>
    <w:rsid w:val="00147543"/>
    <w:rsid w:val="004F7258"/>
    <w:rsid w:val="005C1FB4"/>
    <w:rsid w:val="007C32C7"/>
    <w:rsid w:val="00877A4E"/>
    <w:rsid w:val="00A7265B"/>
    <w:rsid w:val="00AA436D"/>
    <w:rsid w:val="00AC1B78"/>
    <w:rsid w:val="00AF229A"/>
    <w:rsid w:val="00B26232"/>
    <w:rsid w:val="00C24B84"/>
    <w:rsid w:val="00C76E77"/>
    <w:rsid w:val="00CC3D64"/>
    <w:rsid w:val="00E25405"/>
    <w:rsid w:val="00E81B07"/>
    <w:rsid w:val="00F2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17AA"/>
  <w15:docId w15:val="{05CA41E6-227B-4F97-9B9A-8BCB6523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1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B78"/>
    <w:rPr>
      <w:rFonts w:ascii="Segoe UI" w:eastAsia="Palatino Linotype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1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B78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B78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Order Approving MFR Stipulation (on website).docx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Order Approving MFR Stipulation (on website).docx</dc:title>
  <dc:creator>bartelsp</dc:creator>
  <cp:lastModifiedBy>Sean McDermott</cp:lastModifiedBy>
  <cp:revision>2</cp:revision>
  <dcterms:created xsi:type="dcterms:W3CDTF">2020-10-22T16:29:00Z</dcterms:created>
  <dcterms:modified xsi:type="dcterms:W3CDTF">2020-10-22T16:29:00Z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2019-10-30T00:00:00Z</vt:filetime>
  </property>
</Properties>
</file>