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001" w:rsidRDefault="00F12ACF" w:rsidP="00731278">
      <w:pPr>
        <w:jc w:val="center"/>
        <w:rPr>
          <w:rFonts w:ascii="Garamond" w:hAnsi="Garamond"/>
          <w:b/>
          <w:sz w:val="32"/>
        </w:rPr>
      </w:pPr>
      <w:r w:rsidRPr="00DB6001">
        <w:rPr>
          <w:rFonts w:ascii="Garamond" w:hAnsi="Garamond"/>
          <w:b/>
          <w:sz w:val="32"/>
        </w:rPr>
        <w:t xml:space="preserve">Section 525(a) and Section 525(b) </w:t>
      </w:r>
    </w:p>
    <w:p w:rsidR="00F12ACF" w:rsidRDefault="00F12ACF" w:rsidP="00731278">
      <w:pPr>
        <w:jc w:val="center"/>
        <w:rPr>
          <w:rFonts w:ascii="Garamond" w:hAnsi="Garamond"/>
          <w:b/>
          <w:sz w:val="32"/>
        </w:rPr>
      </w:pPr>
      <w:r w:rsidRPr="00DB6001">
        <w:rPr>
          <w:rFonts w:ascii="Garamond" w:hAnsi="Garamond"/>
          <w:b/>
          <w:sz w:val="32"/>
        </w:rPr>
        <w:t>Limitations on Discrimination Against Debtors</w:t>
      </w:r>
    </w:p>
    <w:p w:rsidR="00DB6001" w:rsidRPr="00DB6001" w:rsidRDefault="00DB6001" w:rsidP="00731278">
      <w:pPr>
        <w:jc w:val="center"/>
        <w:rPr>
          <w:rFonts w:ascii="Garamond" w:hAnsi="Garamond"/>
          <w:b/>
          <w:i/>
          <w:sz w:val="32"/>
        </w:rPr>
      </w:pPr>
      <w:r>
        <w:rPr>
          <w:rFonts w:ascii="Garamond" w:hAnsi="Garamond"/>
          <w:b/>
          <w:i/>
          <w:sz w:val="32"/>
        </w:rPr>
        <w:t>Lou Jones Breakfast – September 15, 2009</w:t>
      </w:r>
    </w:p>
    <w:p w:rsidR="00F12ACF" w:rsidRPr="00DB6001" w:rsidRDefault="00F12ACF" w:rsidP="00DB6001">
      <w:pPr>
        <w:spacing w:line="480" w:lineRule="auto"/>
        <w:rPr>
          <w:rFonts w:ascii="Garamond" w:hAnsi="Garamond"/>
          <w:b/>
        </w:rPr>
      </w:pPr>
    </w:p>
    <w:p w:rsidR="00F12ACF" w:rsidRPr="00DB6001" w:rsidRDefault="00F12ACF" w:rsidP="00DB6001">
      <w:pPr>
        <w:rPr>
          <w:rFonts w:ascii="Garamond" w:hAnsi="Garamond"/>
          <w:b/>
        </w:rPr>
      </w:pPr>
      <w:r w:rsidRPr="00DB6001">
        <w:rPr>
          <w:rFonts w:ascii="Garamond" w:hAnsi="Garamond"/>
          <w:b/>
        </w:rPr>
        <w:t>By</w:t>
      </w:r>
      <w:r w:rsidR="00D069C3" w:rsidRPr="00DB6001">
        <w:rPr>
          <w:rFonts w:ascii="Garamond" w:hAnsi="Garamond"/>
          <w:b/>
        </w:rPr>
        <w:t>:</w:t>
      </w:r>
      <w:r w:rsidR="00D069C3" w:rsidRPr="00DB6001">
        <w:rPr>
          <w:rFonts w:ascii="Garamond" w:hAnsi="Garamond"/>
          <w:b/>
        </w:rPr>
        <w:tab/>
      </w:r>
      <w:r w:rsidRPr="00DB6001">
        <w:rPr>
          <w:rFonts w:ascii="Garamond" w:hAnsi="Garamond"/>
          <w:b/>
        </w:rPr>
        <w:t>David P. Leibowitz</w:t>
      </w:r>
    </w:p>
    <w:p w:rsidR="00D069C3" w:rsidRPr="00DB6001" w:rsidRDefault="00D069C3" w:rsidP="00DB6001">
      <w:pPr>
        <w:rPr>
          <w:rFonts w:ascii="Garamond" w:hAnsi="Garamond"/>
          <w:b/>
        </w:rPr>
      </w:pPr>
      <w:r w:rsidRPr="00DB6001">
        <w:rPr>
          <w:rFonts w:ascii="Garamond" w:hAnsi="Garamond"/>
          <w:b/>
        </w:rPr>
        <w:tab/>
        <w:t>Lakelaw</w:t>
      </w:r>
    </w:p>
    <w:p w:rsidR="00D069C3" w:rsidRPr="00DB6001" w:rsidRDefault="00D069C3" w:rsidP="00DB6001">
      <w:pPr>
        <w:rPr>
          <w:rFonts w:ascii="Garamond" w:hAnsi="Garamond"/>
          <w:b/>
        </w:rPr>
      </w:pPr>
      <w:r w:rsidRPr="00DB6001">
        <w:rPr>
          <w:rFonts w:ascii="Garamond" w:hAnsi="Garamond"/>
          <w:b/>
        </w:rPr>
        <w:tab/>
        <w:t>www.lakelaw.com</w:t>
      </w:r>
    </w:p>
    <w:p w:rsidR="00D069C3" w:rsidRPr="00DB6001" w:rsidRDefault="00D069C3" w:rsidP="00DB6001">
      <w:pPr>
        <w:rPr>
          <w:rFonts w:ascii="Garamond" w:hAnsi="Garamond"/>
          <w:b/>
        </w:rPr>
      </w:pPr>
      <w:r w:rsidRPr="00DB6001">
        <w:rPr>
          <w:rFonts w:ascii="Garamond" w:hAnsi="Garamond"/>
          <w:b/>
        </w:rPr>
        <w:tab/>
        <w:t>Kenosha – Waukegan – Chicago</w:t>
      </w:r>
    </w:p>
    <w:p w:rsidR="00D069C3" w:rsidRDefault="00D069C3" w:rsidP="00DB6001">
      <w:pPr>
        <w:pBdr>
          <w:bottom w:val="double" w:sz="6" w:space="1" w:color="auto"/>
        </w:pBdr>
        <w:rPr>
          <w:rFonts w:ascii="Garamond" w:hAnsi="Garamond"/>
          <w:b/>
        </w:rPr>
      </w:pPr>
      <w:r w:rsidRPr="00DB6001">
        <w:rPr>
          <w:rFonts w:ascii="Garamond" w:hAnsi="Garamond"/>
          <w:b/>
        </w:rPr>
        <w:tab/>
        <w:t>© 2009</w:t>
      </w:r>
    </w:p>
    <w:p w:rsidR="00DB6001" w:rsidRPr="00DB6001" w:rsidRDefault="00DB6001" w:rsidP="00DB6001">
      <w:pPr>
        <w:pBdr>
          <w:bottom w:val="double" w:sz="6" w:space="1" w:color="auto"/>
        </w:pBdr>
        <w:rPr>
          <w:rFonts w:ascii="Garamond" w:hAnsi="Garamond"/>
          <w:b/>
        </w:rPr>
      </w:pPr>
    </w:p>
    <w:p w:rsidR="00F12ACF" w:rsidRPr="00DB6001" w:rsidRDefault="00F12ACF" w:rsidP="00DB6001">
      <w:pPr>
        <w:spacing w:line="480" w:lineRule="auto"/>
        <w:rPr>
          <w:rFonts w:ascii="Garamond" w:hAnsi="Garamond"/>
        </w:rPr>
      </w:pPr>
    </w:p>
    <w:p w:rsidR="00E9596D" w:rsidRPr="00DB6001" w:rsidRDefault="00DB6001" w:rsidP="00DB6001">
      <w:pPr>
        <w:spacing w:line="480" w:lineRule="auto"/>
        <w:ind w:firstLine="720"/>
        <w:rPr>
          <w:rFonts w:ascii="Garamond" w:hAnsi="Garamond"/>
        </w:rPr>
      </w:pPr>
      <w:r>
        <w:rPr>
          <w:rFonts w:ascii="Garamond" w:hAnsi="Garamond"/>
        </w:rPr>
        <w:t>Recently, the</w:t>
      </w:r>
      <w:r w:rsidR="00E9596D" w:rsidRPr="00DB6001">
        <w:rPr>
          <w:rFonts w:ascii="Garamond" w:hAnsi="Garamond"/>
          <w:i/>
        </w:rPr>
        <w:t xml:space="preserve"> New York Times</w:t>
      </w:r>
      <w:r w:rsidR="00E9596D" w:rsidRPr="00DB6001">
        <w:rPr>
          <w:rFonts w:ascii="Garamond" w:hAnsi="Garamond"/>
        </w:rPr>
        <w:t xml:space="preserve"> reported that people who have filed bankruptcy cases have had difficulty getting jobs.  A credit check will reveal whether a debtor has filed a bankruptcy case at any time within the past 10 years.  </w:t>
      </w:r>
      <w:r>
        <w:rPr>
          <w:rFonts w:ascii="Garamond" w:hAnsi="Garamond"/>
        </w:rPr>
        <w:t xml:space="preserve">And National Pacer will reflect a debtor’s bankruptcy essentially forever.  </w:t>
      </w:r>
      <w:r w:rsidR="00E9596D" w:rsidRPr="00DB6001">
        <w:rPr>
          <w:rFonts w:ascii="Garamond" w:hAnsi="Garamond"/>
        </w:rPr>
        <w:t xml:space="preserve">Some employers believe that a bankruptcy filing </w:t>
      </w:r>
      <w:r>
        <w:rPr>
          <w:rFonts w:ascii="Garamond" w:hAnsi="Garamond"/>
        </w:rPr>
        <w:t xml:space="preserve">predicts that a prospective employee may be </w:t>
      </w:r>
      <w:r w:rsidR="00E9596D" w:rsidRPr="00DB6001">
        <w:rPr>
          <w:rFonts w:ascii="Garamond" w:hAnsi="Garamond"/>
        </w:rPr>
        <w:t xml:space="preserve">unreliable.  </w:t>
      </w:r>
      <w:r>
        <w:rPr>
          <w:rFonts w:ascii="Garamond" w:hAnsi="Garamond"/>
        </w:rPr>
        <w:t>Moreover,</w:t>
      </w:r>
      <w:r w:rsidR="00E9596D" w:rsidRPr="00DB6001">
        <w:rPr>
          <w:rFonts w:ascii="Garamond" w:hAnsi="Garamond"/>
        </w:rPr>
        <w:t xml:space="preserve"> laws in some states make it difficult </w:t>
      </w:r>
      <w:r w:rsidR="00291779">
        <w:rPr>
          <w:rFonts w:ascii="Garamond" w:hAnsi="Garamond"/>
        </w:rPr>
        <w:t xml:space="preserve">for a former debtor in bankruptcy </w:t>
      </w:r>
      <w:r w:rsidR="00E9596D" w:rsidRPr="00DB6001">
        <w:rPr>
          <w:rFonts w:ascii="Garamond" w:hAnsi="Garamond"/>
        </w:rPr>
        <w:t>to get or maintain a professional</w:t>
      </w:r>
      <w:r w:rsidR="00291779">
        <w:rPr>
          <w:rFonts w:ascii="Garamond" w:hAnsi="Garamond"/>
        </w:rPr>
        <w:t xml:space="preserve"> license</w:t>
      </w:r>
      <w:r w:rsidR="00E9596D" w:rsidRPr="00DB6001">
        <w:rPr>
          <w:rFonts w:ascii="Garamond" w:hAnsi="Garamond"/>
        </w:rPr>
        <w:t xml:space="preserve">.  </w:t>
      </w:r>
    </w:p>
    <w:p w:rsidR="00E9596D" w:rsidRPr="00DB6001" w:rsidRDefault="0046298A" w:rsidP="00DB6001">
      <w:pPr>
        <w:spacing w:line="480" w:lineRule="auto"/>
        <w:ind w:firstLine="720"/>
        <w:rPr>
          <w:rFonts w:ascii="Garamond" w:hAnsi="Garamond"/>
        </w:rPr>
      </w:pPr>
      <w:r w:rsidRPr="00DB6001">
        <w:rPr>
          <w:rFonts w:ascii="Garamond" w:hAnsi="Garamond"/>
        </w:rPr>
        <w:t>Sections 525</w:t>
      </w:r>
      <w:r w:rsidR="00E9596D" w:rsidRPr="00DB6001">
        <w:rPr>
          <w:rFonts w:ascii="Garamond" w:hAnsi="Garamond"/>
        </w:rPr>
        <w:t xml:space="preserve"> </w:t>
      </w:r>
      <w:r w:rsidRPr="00DB6001">
        <w:rPr>
          <w:rFonts w:ascii="Garamond" w:hAnsi="Garamond"/>
        </w:rPr>
        <w:t xml:space="preserve">of the Bankruptcy Code </w:t>
      </w:r>
      <w:r w:rsidR="00E9596D" w:rsidRPr="00DB6001">
        <w:rPr>
          <w:rFonts w:ascii="Garamond" w:hAnsi="Garamond"/>
        </w:rPr>
        <w:t xml:space="preserve">was enacted </w:t>
      </w:r>
      <w:r w:rsidR="00291779">
        <w:rPr>
          <w:rFonts w:ascii="Garamond" w:hAnsi="Garamond"/>
        </w:rPr>
        <w:t>to protect</w:t>
      </w:r>
      <w:r w:rsidRPr="00DB6001">
        <w:rPr>
          <w:rFonts w:ascii="Garamond" w:hAnsi="Garamond"/>
        </w:rPr>
        <w:t xml:space="preserve"> debtors from discrimination. </w:t>
      </w:r>
      <w:r w:rsidR="00291779">
        <w:rPr>
          <w:rFonts w:ascii="Garamond" w:hAnsi="Garamond"/>
        </w:rPr>
        <w:t>T</w:t>
      </w:r>
      <w:r w:rsidR="00E9596D" w:rsidRPr="00DB6001">
        <w:rPr>
          <w:rFonts w:ascii="Garamond" w:hAnsi="Garamond"/>
        </w:rPr>
        <w:t xml:space="preserve">he benefits of Section 525 are broad but by no means all-encompassing.  Section 525(a) is broader than 525(b) and provides protection </w:t>
      </w:r>
      <w:r w:rsidR="00291779">
        <w:rPr>
          <w:rFonts w:ascii="Garamond" w:hAnsi="Garamond"/>
        </w:rPr>
        <w:t>against government discrimination in the grants of licenses and employment decisions, including the decision to hire.</w:t>
      </w:r>
      <w:r w:rsidR="00E9596D" w:rsidRPr="00DB6001">
        <w:rPr>
          <w:rFonts w:ascii="Garamond" w:hAnsi="Garamond"/>
        </w:rPr>
        <w:t xml:space="preserve">  </w:t>
      </w:r>
    </w:p>
    <w:p w:rsidR="00E9596D" w:rsidRPr="00DB6001" w:rsidRDefault="00E9596D" w:rsidP="00DB6001">
      <w:pPr>
        <w:spacing w:line="480" w:lineRule="auto"/>
        <w:ind w:firstLine="720"/>
        <w:rPr>
          <w:rFonts w:ascii="Garamond" w:hAnsi="Garamond"/>
        </w:rPr>
      </w:pPr>
      <w:r w:rsidRPr="00DB6001">
        <w:rPr>
          <w:rFonts w:ascii="Garamond" w:hAnsi="Garamond"/>
        </w:rPr>
        <w:t xml:space="preserve">Section 525 </w:t>
      </w:r>
      <w:r w:rsidR="00731278">
        <w:rPr>
          <w:rFonts w:ascii="Garamond" w:hAnsi="Garamond"/>
        </w:rPr>
        <w:t>codified</w:t>
      </w:r>
      <w:r w:rsidRPr="00DB6001">
        <w:rPr>
          <w:rFonts w:ascii="Garamond" w:hAnsi="Garamond"/>
        </w:rPr>
        <w:t xml:space="preserve"> the result in </w:t>
      </w:r>
      <w:r w:rsidRPr="00DB6001">
        <w:rPr>
          <w:rFonts w:ascii="Garamond" w:hAnsi="Garamond"/>
          <w:i/>
        </w:rPr>
        <w:t>Perez v. Campbell</w:t>
      </w:r>
      <w:r w:rsidRPr="00DB6001">
        <w:rPr>
          <w:rFonts w:ascii="Garamond" w:hAnsi="Garamond"/>
        </w:rPr>
        <w:t>,</w:t>
      </w:r>
      <w:r w:rsidRPr="00DB6001">
        <w:rPr>
          <w:rStyle w:val="apple-converted-space"/>
          <w:rFonts w:ascii="Garamond" w:hAnsi="Garamond"/>
        </w:rPr>
        <w:t> </w:t>
      </w:r>
      <w:r w:rsidRPr="00DB6001">
        <w:rPr>
          <w:rFonts w:ascii="Garamond" w:hAnsi="Garamond"/>
        </w:rPr>
        <w:t xml:space="preserve">402 U.S. 637 (1971). In </w:t>
      </w:r>
      <w:r w:rsidRPr="00DB6001">
        <w:rPr>
          <w:rFonts w:ascii="Garamond" w:hAnsi="Garamond"/>
          <w:i/>
        </w:rPr>
        <w:t>Perez</w:t>
      </w:r>
      <w:r w:rsidRPr="00DB6001">
        <w:rPr>
          <w:rFonts w:ascii="Garamond" w:hAnsi="Garamond"/>
        </w:rPr>
        <w:t>, the Court held that a state may not suspend the driver's license of a debtor whose tort judgment resulting from an automobile collision was discharged. The Court found that the state financial responsibility statute was in conflict with the "fresh start" policy of the Bankruptcy Act (now the Bankruptcy Code)</w:t>
      </w:r>
      <w:r w:rsidR="00FB0E98" w:rsidRPr="00DB6001">
        <w:rPr>
          <w:rFonts w:ascii="Garamond" w:hAnsi="Garamond"/>
        </w:rPr>
        <w:t xml:space="preserve"> i</w:t>
      </w:r>
      <w:r w:rsidRPr="00DB6001">
        <w:rPr>
          <w:rFonts w:ascii="Garamond" w:hAnsi="Garamond"/>
          <w:i/>
        </w:rPr>
        <w:t>d.</w:t>
      </w:r>
      <w:r w:rsidRPr="00DB6001">
        <w:rPr>
          <w:rFonts w:ascii="Garamond" w:hAnsi="Garamond"/>
        </w:rPr>
        <w:t xml:space="preserve"> at 652.   The Court recognized that the fresh start </w:t>
      </w:r>
      <w:r w:rsidRPr="00DB6001">
        <w:rPr>
          <w:rFonts w:ascii="Garamond" w:hAnsi="Garamond"/>
        </w:rPr>
        <w:lastRenderedPageBreak/>
        <w:t>offered by Bankruptcy would be frustrated by the discriminatory treatment resulting from the unpaid debt arising from a tort claim.</w:t>
      </w:r>
    </w:p>
    <w:p w:rsidR="00B73D06" w:rsidRPr="00DB6001" w:rsidRDefault="00FB0E98" w:rsidP="00DB6001">
      <w:pPr>
        <w:spacing w:line="480" w:lineRule="auto"/>
        <w:rPr>
          <w:rFonts w:ascii="Garamond" w:hAnsi="Garamond"/>
        </w:rPr>
      </w:pPr>
      <w:r w:rsidRPr="00DB6001">
        <w:rPr>
          <w:rFonts w:ascii="Garamond" w:hAnsi="Garamond"/>
        </w:rPr>
        <w:tab/>
        <w:t xml:space="preserve">Section 525 </w:t>
      </w:r>
      <w:r w:rsidR="00B73D06" w:rsidRPr="00DB6001">
        <w:rPr>
          <w:rFonts w:ascii="Garamond" w:hAnsi="Garamond"/>
        </w:rPr>
        <w:t>is divided into three</w:t>
      </w:r>
      <w:r w:rsidRPr="00DB6001">
        <w:rPr>
          <w:rFonts w:ascii="Garamond" w:hAnsi="Garamond"/>
        </w:rPr>
        <w:t xml:space="preserve"> </w:t>
      </w:r>
      <w:r w:rsidR="00DB6001">
        <w:rPr>
          <w:rFonts w:ascii="Garamond" w:hAnsi="Garamond"/>
        </w:rPr>
        <w:t>subsections:</w:t>
      </w:r>
      <w:r w:rsidRPr="00DB6001">
        <w:rPr>
          <w:rFonts w:ascii="Garamond" w:hAnsi="Garamond"/>
        </w:rPr>
        <w:t xml:space="preserve"> subsection (a) which deals with d</w:t>
      </w:r>
      <w:r w:rsidR="00B73D06" w:rsidRPr="00DB6001">
        <w:rPr>
          <w:rFonts w:ascii="Garamond" w:hAnsi="Garamond"/>
        </w:rPr>
        <w:t xml:space="preserve">iscrimination by government, </w:t>
      </w:r>
      <w:r w:rsidRPr="00DB6001">
        <w:rPr>
          <w:rFonts w:ascii="Garamond" w:hAnsi="Garamond"/>
        </w:rPr>
        <w:t>subsection (b) which deals with discrimination</w:t>
      </w:r>
      <w:r w:rsidR="00B73D06" w:rsidRPr="00DB6001">
        <w:rPr>
          <w:rFonts w:ascii="Garamond" w:hAnsi="Garamond"/>
        </w:rPr>
        <w:t xml:space="preserve"> by non-governmental </w:t>
      </w:r>
      <w:r w:rsidR="00DB6001">
        <w:rPr>
          <w:rFonts w:ascii="Garamond" w:hAnsi="Garamond"/>
        </w:rPr>
        <w:t>persons and entities</w:t>
      </w:r>
      <w:r w:rsidR="00B73D06" w:rsidRPr="00DB6001">
        <w:rPr>
          <w:rFonts w:ascii="Garamond" w:hAnsi="Garamond"/>
        </w:rPr>
        <w:t>, and subsection (c) which addresses student loans.  Subsection (c) is beyond the scope of this presentation and won’t be explored here.</w:t>
      </w:r>
    </w:p>
    <w:p w:rsidR="00B73D06" w:rsidRPr="00DB6001" w:rsidRDefault="00FB0E98" w:rsidP="00DB6001">
      <w:pPr>
        <w:spacing w:line="480" w:lineRule="auto"/>
        <w:ind w:firstLine="720"/>
        <w:rPr>
          <w:rFonts w:ascii="Garamond" w:hAnsi="Garamond"/>
        </w:rPr>
      </w:pPr>
      <w:r w:rsidRPr="00DB6001">
        <w:rPr>
          <w:rFonts w:ascii="Garamond" w:hAnsi="Garamond"/>
        </w:rPr>
        <w:t>The distinctions</w:t>
      </w:r>
      <w:r w:rsidR="00B73D06" w:rsidRPr="00DB6001">
        <w:rPr>
          <w:rFonts w:ascii="Garamond" w:hAnsi="Garamond"/>
        </w:rPr>
        <w:t xml:space="preserve"> between subsections (a) and (b) are subtle but important.</w:t>
      </w:r>
    </w:p>
    <w:p w:rsidR="00B73D06" w:rsidRPr="00DB6001" w:rsidRDefault="00B73D06" w:rsidP="00DB6001">
      <w:pPr>
        <w:spacing w:line="480" w:lineRule="auto"/>
        <w:rPr>
          <w:rFonts w:ascii="Garamond" w:hAnsi="Garamond"/>
        </w:rPr>
      </w:pPr>
      <w:r w:rsidRPr="00DB6001">
        <w:rPr>
          <w:rFonts w:ascii="Garamond" w:hAnsi="Garamond"/>
        </w:rPr>
        <w:tab/>
        <w:t>Section 525(a) provides:</w:t>
      </w:r>
    </w:p>
    <w:p w:rsidR="00B73D06" w:rsidRPr="00DB6001" w:rsidRDefault="00B73D06" w:rsidP="00DB6001">
      <w:pPr>
        <w:spacing w:line="480" w:lineRule="auto"/>
        <w:ind w:firstLine="720"/>
        <w:rPr>
          <w:rFonts w:ascii="Garamond" w:hAnsi="Garamond"/>
        </w:rPr>
      </w:pPr>
      <w:r w:rsidRPr="00DB6001">
        <w:rPr>
          <w:rFonts w:ascii="Garamond" w:hAnsi="Garamond"/>
        </w:rPr>
        <w:t>§ 525. Protection against discriminatory treatment</w:t>
      </w:r>
    </w:p>
    <w:p w:rsidR="00B73D06" w:rsidRPr="00DB6001" w:rsidRDefault="00B73D06" w:rsidP="00DB6001">
      <w:pPr>
        <w:numPr>
          <w:ilvl w:val="0"/>
          <w:numId w:val="2"/>
        </w:numPr>
        <w:rPr>
          <w:rStyle w:val="ptext-1"/>
          <w:rFonts w:ascii="Garamond" w:hAnsi="Garamond"/>
          <w:sz w:val="22"/>
        </w:rPr>
      </w:pPr>
      <w:bookmarkStart w:id="0" w:name="a"/>
      <w:bookmarkEnd w:id="0"/>
      <w:r w:rsidRPr="00DB6001">
        <w:rPr>
          <w:rStyle w:val="ptext-1"/>
          <w:rFonts w:ascii="Garamond" w:hAnsi="Garamond"/>
          <w:sz w:val="22"/>
        </w:rPr>
        <w:t>Except as provided in the Perishable Agricultural Commodities Act, 1930, the Packers and Stockyards Act, 1921, and section 1 of the Act entitled “An Act making appropriations for the Department of Agriculture for the fiscal year ending June 30, 1944, and for other purposes,” approved July 12, 1943, a governmental unit may not deny, revoke, suspend, or refuse to renew a license, permit, charter, franchise, or other similar grant to, condition such a grant to, discriminate with respect to such a grant against, deny employment to, terminate the employment of, or discriminate with respect to employment against, a person that is or has been a debtor under this title or a bankrupt or a debtor under the Bankruptcy Act, or another person with whom such bankrupt or debtor has been associated, solely because such bankrupt or debtor is or has been a debtor under this title or a bankrupt or debtor under the Bankruptcy Act, has been insolvent before the commencement of the case under this title, or during the case but before the debtor is granted or denied a discharge, or has not paid a debt that is dischargeable in the case under this title or that was discharged under the Bankruptcy Act.</w:t>
      </w:r>
    </w:p>
    <w:p w:rsidR="00B73D06" w:rsidRPr="00DB6001" w:rsidRDefault="00B73D06" w:rsidP="00DB6001">
      <w:pPr>
        <w:rPr>
          <w:rStyle w:val="ptext-1"/>
          <w:rFonts w:ascii="Garamond" w:hAnsi="Garamond"/>
        </w:rPr>
      </w:pPr>
    </w:p>
    <w:p w:rsidR="00B73D06" w:rsidRPr="00DB6001" w:rsidRDefault="00B73D06" w:rsidP="00DB6001">
      <w:pPr>
        <w:ind w:firstLine="720"/>
        <w:rPr>
          <w:rStyle w:val="ptext-1"/>
          <w:rFonts w:ascii="Garamond" w:hAnsi="Garamond"/>
        </w:rPr>
      </w:pPr>
      <w:r w:rsidRPr="00DB6001">
        <w:rPr>
          <w:rStyle w:val="ptext-1"/>
          <w:rFonts w:ascii="Garamond" w:hAnsi="Garamond"/>
        </w:rPr>
        <w:t>Subsection 525(b) provides:</w:t>
      </w:r>
    </w:p>
    <w:p w:rsidR="00B73D06" w:rsidRPr="00DB6001" w:rsidRDefault="00B73D06" w:rsidP="00DB6001">
      <w:pPr>
        <w:rPr>
          <w:rFonts w:ascii="Garamond" w:hAnsi="Garamond"/>
        </w:rPr>
      </w:pPr>
    </w:p>
    <w:p w:rsidR="00B73D06" w:rsidRPr="00DB6001" w:rsidRDefault="00B73D06" w:rsidP="00DB6001">
      <w:pPr>
        <w:ind w:left="1440"/>
        <w:rPr>
          <w:rFonts w:ascii="Garamond" w:hAnsi="Garamond"/>
          <w:sz w:val="22"/>
        </w:rPr>
      </w:pPr>
      <w:bookmarkStart w:id="1" w:name="b"/>
      <w:bookmarkEnd w:id="1"/>
      <w:r w:rsidRPr="00DB6001">
        <w:rPr>
          <w:rStyle w:val="enumbell"/>
          <w:rFonts w:ascii="Garamond" w:hAnsi="Garamond"/>
          <w:b/>
          <w:bCs/>
          <w:sz w:val="22"/>
        </w:rPr>
        <w:t>(b)</w:t>
      </w:r>
      <w:r w:rsidRPr="00DB6001">
        <w:rPr>
          <w:rStyle w:val="apple-converted-space"/>
          <w:rFonts w:ascii="Garamond" w:hAnsi="Garamond"/>
          <w:sz w:val="22"/>
        </w:rPr>
        <w:t> </w:t>
      </w:r>
      <w:r w:rsidRPr="00DB6001">
        <w:rPr>
          <w:rStyle w:val="apple-converted-space"/>
          <w:rFonts w:ascii="Garamond" w:hAnsi="Garamond"/>
          <w:sz w:val="22"/>
        </w:rPr>
        <w:tab/>
      </w:r>
      <w:r w:rsidRPr="00DB6001">
        <w:rPr>
          <w:rStyle w:val="ptext-1"/>
          <w:rFonts w:ascii="Garamond" w:hAnsi="Garamond"/>
          <w:sz w:val="22"/>
        </w:rPr>
        <w:t>No private employer may terminate the employment of, or discriminate with respect to employment against, an individual who is or has been a debtor under this title, a debtor or bankrupt under the Bankruptcy Act, or an individual associated with such debtor or bankrupt, solely because such debtor or bankrupt—</w:t>
      </w:r>
    </w:p>
    <w:p w:rsidR="00B73D06" w:rsidRPr="00DB6001" w:rsidRDefault="00B73D06" w:rsidP="00DB6001">
      <w:pPr>
        <w:rPr>
          <w:rStyle w:val="enumbell"/>
          <w:rFonts w:ascii="Garamond" w:hAnsi="Garamond"/>
          <w:b/>
          <w:bCs/>
          <w:sz w:val="22"/>
        </w:rPr>
      </w:pPr>
      <w:bookmarkStart w:id="2" w:name="b_1"/>
      <w:bookmarkEnd w:id="2"/>
    </w:p>
    <w:p w:rsidR="00B73D06" w:rsidRPr="00DB6001" w:rsidRDefault="00B73D06" w:rsidP="00DB6001">
      <w:pPr>
        <w:ind w:left="1440" w:firstLine="720"/>
        <w:rPr>
          <w:rFonts w:ascii="Garamond" w:hAnsi="Garamond"/>
          <w:sz w:val="22"/>
        </w:rPr>
      </w:pPr>
      <w:r w:rsidRPr="00DB6001">
        <w:rPr>
          <w:rStyle w:val="enumbell"/>
          <w:rFonts w:ascii="Garamond" w:hAnsi="Garamond"/>
          <w:b/>
          <w:bCs/>
          <w:sz w:val="22"/>
        </w:rPr>
        <w:t>(1)</w:t>
      </w:r>
      <w:r w:rsidRPr="00DB6001">
        <w:rPr>
          <w:rStyle w:val="apple-converted-space"/>
          <w:rFonts w:ascii="Garamond" w:hAnsi="Garamond"/>
          <w:sz w:val="22"/>
        </w:rPr>
        <w:t> </w:t>
      </w:r>
      <w:r w:rsidRPr="00DB6001">
        <w:rPr>
          <w:rStyle w:val="ptext-2"/>
          <w:rFonts w:ascii="Garamond" w:hAnsi="Garamond"/>
          <w:sz w:val="22"/>
        </w:rPr>
        <w:t>is or has been a debtor under this title or a debtor or bankrupt under the Bankruptcy Act;</w:t>
      </w:r>
    </w:p>
    <w:p w:rsidR="00B73D06" w:rsidRPr="00DB6001" w:rsidRDefault="00B73D06" w:rsidP="00DB6001">
      <w:pPr>
        <w:ind w:left="1440" w:firstLine="720"/>
        <w:rPr>
          <w:rFonts w:ascii="Garamond" w:hAnsi="Garamond"/>
          <w:sz w:val="22"/>
        </w:rPr>
      </w:pPr>
      <w:bookmarkStart w:id="3" w:name="b_2"/>
      <w:bookmarkEnd w:id="3"/>
      <w:r w:rsidRPr="00DB6001">
        <w:rPr>
          <w:rStyle w:val="enumbell"/>
          <w:rFonts w:ascii="Garamond" w:hAnsi="Garamond"/>
          <w:b/>
          <w:bCs/>
          <w:sz w:val="22"/>
        </w:rPr>
        <w:t>(2)</w:t>
      </w:r>
      <w:r w:rsidRPr="00DB6001">
        <w:rPr>
          <w:rStyle w:val="apple-converted-space"/>
          <w:rFonts w:ascii="Garamond" w:hAnsi="Garamond"/>
          <w:sz w:val="22"/>
        </w:rPr>
        <w:t> </w:t>
      </w:r>
      <w:r w:rsidRPr="00DB6001">
        <w:rPr>
          <w:rStyle w:val="ptext-2"/>
          <w:rFonts w:ascii="Garamond" w:hAnsi="Garamond"/>
          <w:sz w:val="22"/>
        </w:rPr>
        <w:t>has been insolvent before the commencement of a case under this title or during the case but before the grant or denial of a discharge; or</w:t>
      </w:r>
    </w:p>
    <w:p w:rsidR="00B73D06" w:rsidRPr="00DB6001" w:rsidRDefault="00B73D06" w:rsidP="00DB6001">
      <w:pPr>
        <w:ind w:left="1440" w:firstLine="720"/>
        <w:rPr>
          <w:rFonts w:ascii="Garamond" w:hAnsi="Garamond"/>
          <w:sz w:val="22"/>
        </w:rPr>
      </w:pPr>
      <w:bookmarkStart w:id="4" w:name="b_3"/>
      <w:bookmarkEnd w:id="4"/>
      <w:r w:rsidRPr="00DB6001">
        <w:rPr>
          <w:rStyle w:val="enumbell"/>
          <w:rFonts w:ascii="Garamond" w:hAnsi="Garamond"/>
          <w:b/>
          <w:bCs/>
          <w:sz w:val="22"/>
        </w:rPr>
        <w:t>(3)</w:t>
      </w:r>
      <w:r w:rsidRPr="00DB6001">
        <w:rPr>
          <w:rStyle w:val="apple-converted-space"/>
          <w:rFonts w:ascii="Garamond" w:hAnsi="Garamond"/>
          <w:sz w:val="22"/>
        </w:rPr>
        <w:t> </w:t>
      </w:r>
      <w:r w:rsidRPr="00DB6001">
        <w:rPr>
          <w:rStyle w:val="ptext-2"/>
          <w:rFonts w:ascii="Garamond" w:hAnsi="Garamond"/>
          <w:sz w:val="22"/>
        </w:rPr>
        <w:t>has not paid a debt that is dischargeable in a case under this title or that was discharged under the Bankruptcy Act.</w:t>
      </w:r>
    </w:p>
    <w:p w:rsidR="00B73D06" w:rsidRDefault="00B73D06" w:rsidP="00DB6001">
      <w:pPr>
        <w:spacing w:line="480" w:lineRule="auto"/>
        <w:rPr>
          <w:rFonts w:ascii="Garamond" w:hAnsi="Garamond"/>
        </w:rPr>
      </w:pPr>
      <w:r w:rsidRPr="00DB6001">
        <w:rPr>
          <w:rFonts w:ascii="Garamond" w:hAnsi="Garamond"/>
        </w:rPr>
        <w:tab/>
      </w:r>
    </w:p>
    <w:p w:rsidR="00731278" w:rsidRPr="00DB6001" w:rsidRDefault="00731278" w:rsidP="00DB6001">
      <w:pPr>
        <w:spacing w:line="480" w:lineRule="auto"/>
        <w:rPr>
          <w:rFonts w:ascii="Garamond" w:hAnsi="Garamond"/>
        </w:rPr>
      </w:pPr>
    </w:p>
    <w:p w:rsidR="00E06921" w:rsidRPr="00DB6001" w:rsidRDefault="00E06921" w:rsidP="00DB6001">
      <w:pPr>
        <w:spacing w:line="480" w:lineRule="auto"/>
        <w:rPr>
          <w:rFonts w:ascii="Garamond" w:hAnsi="Garamond"/>
          <w:b/>
          <w:i/>
        </w:rPr>
      </w:pPr>
      <w:r w:rsidRPr="00DB6001">
        <w:rPr>
          <w:rFonts w:ascii="Garamond" w:hAnsi="Garamond"/>
          <w:b/>
          <w:i/>
        </w:rPr>
        <w:lastRenderedPageBreak/>
        <w:t>Limitations on Governmental Discrimination in Licensing and Employment</w:t>
      </w:r>
    </w:p>
    <w:p w:rsidR="0046298A" w:rsidRPr="00DB6001" w:rsidRDefault="00E06921" w:rsidP="00DB6001">
      <w:pPr>
        <w:spacing w:line="480" w:lineRule="auto"/>
        <w:rPr>
          <w:rFonts w:ascii="Garamond" w:hAnsi="Garamond"/>
        </w:rPr>
      </w:pPr>
      <w:r w:rsidRPr="00DB6001">
        <w:rPr>
          <w:rFonts w:ascii="Garamond" w:hAnsi="Garamond"/>
          <w:b/>
        </w:rPr>
        <w:tab/>
      </w:r>
      <w:r w:rsidRPr="00DB6001">
        <w:rPr>
          <w:rFonts w:ascii="Garamond" w:hAnsi="Garamond"/>
        </w:rPr>
        <w:t xml:space="preserve">Recognizing that Section 525 and its predecessor statute under the Bankruptcy Act was the codification of </w:t>
      </w:r>
      <w:r w:rsidRPr="00DB6001">
        <w:rPr>
          <w:rFonts w:ascii="Garamond" w:hAnsi="Garamond"/>
          <w:i/>
        </w:rPr>
        <w:t>Perez v. Campbell, supra,</w:t>
      </w:r>
      <w:r w:rsidRPr="00DB6001">
        <w:rPr>
          <w:rFonts w:ascii="Garamond" w:hAnsi="Garamond"/>
        </w:rPr>
        <w:t xml:space="preserve"> it is appropriate to consider the impact of Section 525(a) on governmental licensing first.</w:t>
      </w:r>
    </w:p>
    <w:p w:rsidR="00302273" w:rsidRPr="00DB6001" w:rsidRDefault="0046298A" w:rsidP="00DB6001">
      <w:pPr>
        <w:spacing w:line="480" w:lineRule="auto"/>
        <w:rPr>
          <w:rFonts w:ascii="Garamond" w:hAnsi="Garamond"/>
        </w:rPr>
      </w:pPr>
      <w:r w:rsidRPr="00DB6001">
        <w:rPr>
          <w:rFonts w:ascii="Garamond" w:hAnsi="Garamond"/>
        </w:rPr>
        <w:tab/>
        <w:t>Recently the No</w:t>
      </w:r>
      <w:r w:rsidR="00291779">
        <w:rPr>
          <w:rFonts w:ascii="Garamond" w:hAnsi="Garamond"/>
        </w:rPr>
        <w:t xml:space="preserve">rthern District of Illinois </w:t>
      </w:r>
      <w:r w:rsidRPr="00DB6001">
        <w:rPr>
          <w:rFonts w:ascii="Garamond" w:hAnsi="Garamond"/>
        </w:rPr>
        <w:t xml:space="preserve">analyzed the licensing provisions of §525(a). </w:t>
      </w:r>
      <w:r w:rsidR="00E06921" w:rsidRPr="00DB6001">
        <w:rPr>
          <w:rFonts w:ascii="Garamond" w:hAnsi="Garamond"/>
          <w:i/>
        </w:rPr>
        <w:t>Slayton v. White (</w:t>
      </w:r>
      <w:r w:rsidRPr="00DB6001">
        <w:rPr>
          <w:rFonts w:ascii="Garamond" w:hAnsi="Garamond"/>
          <w:i/>
          <w:iCs/>
        </w:rPr>
        <w:t>In re Slayton</w:t>
      </w:r>
      <w:r w:rsidR="00E06921" w:rsidRPr="00DB6001">
        <w:rPr>
          <w:rFonts w:ascii="Garamond" w:hAnsi="Garamond"/>
          <w:i/>
          <w:iCs/>
        </w:rPr>
        <w:t>)</w:t>
      </w:r>
      <w:r w:rsidRPr="00DB6001">
        <w:rPr>
          <w:rFonts w:ascii="Garamond" w:hAnsi="Garamond"/>
          <w:i/>
          <w:iCs/>
        </w:rPr>
        <w:t xml:space="preserve">, </w:t>
      </w:r>
      <w:r w:rsidR="00302273" w:rsidRPr="00DB6001">
        <w:rPr>
          <w:rFonts w:ascii="Garamond" w:hAnsi="Garamond"/>
          <w:iCs/>
        </w:rPr>
        <w:t xml:space="preserve">Adv. Pro 09-A- 100; </w:t>
      </w:r>
      <w:r w:rsidRPr="00DB6001">
        <w:rPr>
          <w:rFonts w:ascii="Garamond" w:hAnsi="Garamond"/>
        </w:rPr>
        <w:t>06 B 2826 (N.D. Ill. 2009).</w:t>
      </w:r>
      <w:r w:rsidR="00302273" w:rsidRPr="00DB6001">
        <w:rPr>
          <w:rStyle w:val="FootnoteReference"/>
          <w:rFonts w:ascii="Garamond" w:hAnsi="Garamond"/>
        </w:rPr>
        <w:footnoteReference w:id="1"/>
      </w:r>
      <w:r w:rsidR="00291779">
        <w:rPr>
          <w:rFonts w:ascii="Garamond" w:hAnsi="Garamond"/>
        </w:rPr>
        <w:t xml:space="preserve">  </w:t>
      </w:r>
      <w:r w:rsidRPr="00DB6001">
        <w:rPr>
          <w:rFonts w:ascii="Garamond" w:hAnsi="Garamond"/>
        </w:rPr>
        <w:t xml:space="preserve"> In this case the debtors </w:t>
      </w:r>
      <w:r w:rsidR="00302273" w:rsidRPr="00DB6001">
        <w:rPr>
          <w:rFonts w:ascii="Garamond" w:hAnsi="Garamond"/>
        </w:rPr>
        <w:t xml:space="preserve">had </w:t>
      </w:r>
      <w:r w:rsidRPr="00DB6001">
        <w:rPr>
          <w:rFonts w:ascii="Garamond" w:hAnsi="Garamond"/>
        </w:rPr>
        <w:t xml:space="preserve">owned and operated a </w:t>
      </w:r>
      <w:r w:rsidR="00291779">
        <w:rPr>
          <w:rFonts w:ascii="Garamond" w:hAnsi="Garamond"/>
        </w:rPr>
        <w:t>trucking business through a corporation</w:t>
      </w:r>
      <w:r w:rsidR="00302273" w:rsidRPr="00DB6001">
        <w:rPr>
          <w:rFonts w:ascii="Garamond" w:hAnsi="Garamond"/>
        </w:rPr>
        <w:t xml:space="preserve">.  The </w:t>
      </w:r>
      <w:r w:rsidRPr="00DB6001">
        <w:rPr>
          <w:rFonts w:ascii="Garamond" w:hAnsi="Garamond"/>
        </w:rPr>
        <w:t xml:space="preserve">corporation </w:t>
      </w:r>
      <w:r w:rsidR="00302273" w:rsidRPr="00DB6001">
        <w:rPr>
          <w:rFonts w:ascii="Garamond" w:hAnsi="Garamond"/>
        </w:rPr>
        <w:t xml:space="preserve">had </w:t>
      </w:r>
      <w:r w:rsidRPr="00DB6001">
        <w:rPr>
          <w:rFonts w:ascii="Garamond" w:hAnsi="Garamond"/>
        </w:rPr>
        <w:t>filed a cha</w:t>
      </w:r>
      <w:r w:rsidR="00302273" w:rsidRPr="00DB6001">
        <w:rPr>
          <w:rFonts w:ascii="Garamond" w:hAnsi="Garamond"/>
        </w:rPr>
        <w:t xml:space="preserve">pter 11 bankruptcy case which was </w:t>
      </w:r>
      <w:r w:rsidR="00291779">
        <w:rPr>
          <w:rFonts w:ascii="Garamond" w:hAnsi="Garamond"/>
        </w:rPr>
        <w:t>promptly tanked when the bank obtained relief from the stay.  The Bank set off against t</w:t>
      </w:r>
      <w:r w:rsidR="00302273" w:rsidRPr="00DB6001">
        <w:rPr>
          <w:rFonts w:ascii="Garamond" w:hAnsi="Garamond"/>
        </w:rPr>
        <w:t>he corporation’s bank accounts</w:t>
      </w:r>
      <w:r w:rsidR="00291779">
        <w:rPr>
          <w:rFonts w:ascii="Garamond" w:hAnsi="Garamond"/>
        </w:rPr>
        <w:t>.  As a result, the corporation’s</w:t>
      </w:r>
      <w:r w:rsidR="00302273" w:rsidRPr="00DB6001">
        <w:rPr>
          <w:rFonts w:ascii="Garamond" w:hAnsi="Garamond"/>
        </w:rPr>
        <w:t xml:space="preserve"> checks to the Illinois Secretary of State for license plates for its trucks bounced.</w:t>
      </w:r>
      <w:r w:rsidR="007B1CE4" w:rsidRPr="00DB6001">
        <w:rPr>
          <w:rFonts w:ascii="Garamond" w:hAnsi="Garamond"/>
        </w:rPr>
        <w:t xml:space="preserve">  To add insult to injury, the trucks were also repossessed and the license plates were never used.</w:t>
      </w:r>
    </w:p>
    <w:p w:rsidR="00302273" w:rsidRPr="00DB6001" w:rsidRDefault="00302273" w:rsidP="00DB6001">
      <w:pPr>
        <w:spacing w:line="480" w:lineRule="auto"/>
        <w:ind w:firstLine="720"/>
        <w:rPr>
          <w:rFonts w:ascii="Garamond" w:hAnsi="Garamond"/>
        </w:rPr>
      </w:pPr>
      <w:r w:rsidRPr="00DB6001">
        <w:rPr>
          <w:rFonts w:ascii="Garamond" w:hAnsi="Garamond"/>
        </w:rPr>
        <w:t>Subsequently, Fred and Ann Slayton, former officers of the corporation, husband and wife, one of whom was a signatory for the checks to the Secretary of State for the license plates, fil</w:t>
      </w:r>
      <w:r w:rsidR="0046298A" w:rsidRPr="00DB6001">
        <w:rPr>
          <w:rFonts w:ascii="Garamond" w:hAnsi="Garamond"/>
        </w:rPr>
        <w:t xml:space="preserve">ed a </w:t>
      </w:r>
      <w:r w:rsidR="007B1CE4" w:rsidRPr="00DB6001">
        <w:rPr>
          <w:rFonts w:ascii="Garamond" w:hAnsi="Garamond"/>
        </w:rPr>
        <w:t xml:space="preserve">joint </w:t>
      </w:r>
      <w:r w:rsidR="0046298A" w:rsidRPr="00DB6001">
        <w:rPr>
          <w:rFonts w:ascii="Garamond" w:hAnsi="Garamond"/>
        </w:rPr>
        <w:t>chapter 7 case.</w:t>
      </w:r>
      <w:r w:rsidRPr="00DB6001">
        <w:rPr>
          <w:rFonts w:ascii="Garamond" w:hAnsi="Garamond"/>
        </w:rPr>
        <w:t xml:space="preserve">  In due course, they received a discharge.</w:t>
      </w:r>
    </w:p>
    <w:p w:rsidR="007B1CE4" w:rsidRPr="00DB6001" w:rsidRDefault="0046298A" w:rsidP="00DB6001">
      <w:pPr>
        <w:spacing w:line="480" w:lineRule="auto"/>
        <w:ind w:firstLine="720"/>
        <w:rPr>
          <w:rFonts w:ascii="Garamond" w:hAnsi="Garamond"/>
        </w:rPr>
      </w:pPr>
      <w:r w:rsidRPr="00DB6001">
        <w:rPr>
          <w:rFonts w:ascii="Garamond" w:hAnsi="Garamond"/>
        </w:rPr>
        <w:t>After the discharge the Illinois S</w:t>
      </w:r>
      <w:r w:rsidR="007B1CE4" w:rsidRPr="00DB6001">
        <w:rPr>
          <w:rFonts w:ascii="Garamond" w:hAnsi="Garamond"/>
        </w:rPr>
        <w:t xml:space="preserve">ecretary of State cancelled the </w:t>
      </w:r>
      <w:r w:rsidRPr="00DB6001">
        <w:rPr>
          <w:rFonts w:ascii="Garamond" w:hAnsi="Garamond"/>
        </w:rPr>
        <w:t>Sl</w:t>
      </w:r>
      <w:r w:rsidR="007B1CE4" w:rsidRPr="00DB6001">
        <w:rPr>
          <w:rFonts w:ascii="Garamond" w:hAnsi="Garamond"/>
        </w:rPr>
        <w:t>aytons</w:t>
      </w:r>
      <w:r w:rsidR="00DB6001">
        <w:rPr>
          <w:rFonts w:ascii="Garamond" w:hAnsi="Garamond"/>
        </w:rPr>
        <w:t>’</w:t>
      </w:r>
      <w:r w:rsidRPr="00DB6001">
        <w:rPr>
          <w:rFonts w:ascii="Garamond" w:hAnsi="Garamond"/>
        </w:rPr>
        <w:t xml:space="preserve"> driver’s license</w:t>
      </w:r>
      <w:r w:rsidR="007B1CE4" w:rsidRPr="00DB6001">
        <w:rPr>
          <w:rFonts w:ascii="Garamond" w:hAnsi="Garamond"/>
        </w:rPr>
        <w:t>s</w:t>
      </w:r>
      <w:r w:rsidRPr="00DB6001">
        <w:rPr>
          <w:rFonts w:ascii="Garamond" w:hAnsi="Garamond"/>
        </w:rPr>
        <w:t xml:space="preserve"> because the trucking company</w:t>
      </w:r>
      <w:r w:rsidR="007B1CE4" w:rsidRPr="00DB6001">
        <w:rPr>
          <w:rFonts w:ascii="Garamond" w:hAnsi="Garamond"/>
        </w:rPr>
        <w:t xml:space="preserve">’s check to the Secretary of State had bounced. </w:t>
      </w:r>
      <w:r w:rsidR="00291779">
        <w:rPr>
          <w:rFonts w:ascii="Garamond" w:hAnsi="Garamond"/>
        </w:rPr>
        <w:t xml:space="preserve"> The State of Illinois’ claim was not based on any statute or regulation, but simply a policy.  The claim not been scheduled since it had not been even asserted by the State at the time of the Slayton’s filing.  </w:t>
      </w:r>
      <w:r w:rsidR="007B1CE4" w:rsidRPr="00DB6001">
        <w:rPr>
          <w:rFonts w:ascii="Garamond" w:hAnsi="Garamond"/>
        </w:rPr>
        <w:t xml:space="preserve"> </w:t>
      </w:r>
      <w:r w:rsidRPr="00DB6001">
        <w:rPr>
          <w:rFonts w:ascii="Garamond" w:hAnsi="Garamond"/>
        </w:rPr>
        <w:t xml:space="preserve"> </w:t>
      </w:r>
      <w:r w:rsidR="00291779">
        <w:rPr>
          <w:rFonts w:ascii="Garamond" w:hAnsi="Garamond"/>
        </w:rPr>
        <w:t xml:space="preserve">The States claims would be discharged under the </w:t>
      </w:r>
      <w:r w:rsidR="00291779">
        <w:rPr>
          <w:rFonts w:ascii="Garamond" w:hAnsi="Garamond"/>
          <w:i/>
        </w:rPr>
        <w:t xml:space="preserve">Mendiola </w:t>
      </w:r>
      <w:r w:rsidR="00291779">
        <w:rPr>
          <w:rFonts w:ascii="Garamond" w:hAnsi="Garamond"/>
        </w:rPr>
        <w:t>doctrine, followed in the Eastern District of Wisconsin</w:t>
      </w:r>
      <w:r w:rsidR="00291779">
        <w:rPr>
          <w:rStyle w:val="FootnoteReference"/>
          <w:rFonts w:ascii="Garamond" w:hAnsi="Garamond"/>
        </w:rPr>
        <w:footnoteReference w:id="2"/>
      </w:r>
      <w:r w:rsidR="002F3816">
        <w:rPr>
          <w:rFonts w:ascii="Garamond" w:hAnsi="Garamond"/>
        </w:rPr>
        <w:t xml:space="preserve">  </w:t>
      </w:r>
      <w:r w:rsidR="007B1CE4" w:rsidRPr="00DB6001">
        <w:rPr>
          <w:rFonts w:ascii="Garamond" w:hAnsi="Garamond"/>
        </w:rPr>
        <w:t xml:space="preserve">The Slaytons filed an adversary proceeding </w:t>
      </w:r>
      <w:r w:rsidR="007B1CE4" w:rsidRPr="00DB6001">
        <w:rPr>
          <w:rFonts w:ascii="Garamond" w:hAnsi="Garamond"/>
        </w:rPr>
        <w:lastRenderedPageBreak/>
        <w:t xml:space="preserve">for damages under Section 525(a) and also sought to have the Secretary held in contempt of court for violation of the discharge injunction. </w:t>
      </w:r>
    </w:p>
    <w:p w:rsidR="007B1CE4" w:rsidRPr="00DB6001" w:rsidRDefault="007B1CE4" w:rsidP="00DB6001">
      <w:pPr>
        <w:spacing w:line="480" w:lineRule="auto"/>
        <w:ind w:firstLine="720"/>
        <w:rPr>
          <w:rFonts w:ascii="Garamond" w:hAnsi="Garamond"/>
        </w:rPr>
      </w:pPr>
      <w:r w:rsidRPr="00DB6001">
        <w:rPr>
          <w:rFonts w:ascii="Garamond" w:hAnsi="Garamond"/>
        </w:rPr>
        <w:t>The Secretary moved to dismiss.  The court denied the motion to dismiss and held that the Slayton’s complaint for damages stated a claim upon which relief could be based under section 525(a).  The court granted the motion to dismiss as to punitive damages.  And the court indicated that the proper procedure to follow in order to hold the Secretary of State in contempt would be a motion rather than an adversary proceeding.</w:t>
      </w:r>
    </w:p>
    <w:p w:rsidR="007B1CE4" w:rsidRPr="00DB6001" w:rsidRDefault="007B1CE4" w:rsidP="00DB6001">
      <w:pPr>
        <w:spacing w:line="480" w:lineRule="auto"/>
        <w:ind w:firstLine="720"/>
        <w:rPr>
          <w:rFonts w:ascii="Garamond" w:hAnsi="Garamond"/>
        </w:rPr>
      </w:pPr>
      <w:r w:rsidRPr="00DB6001">
        <w:rPr>
          <w:rFonts w:ascii="Garamond" w:hAnsi="Garamond"/>
        </w:rPr>
        <w:t>In so ruling, the bankruptcy court overruled the Illinois Attorney General’s objections that the bankruptcy court had no jurisdiction over the Secretary.  In fact the Attorney General asserted that the bankruptcy court lacked even subject matter jurisdiction citing the Eleventh Amendment to the Constitution</w:t>
      </w:r>
    </w:p>
    <w:p w:rsidR="007B1CE4" w:rsidRPr="00DB6001" w:rsidRDefault="007B1CE4" w:rsidP="00DB6001">
      <w:pPr>
        <w:autoSpaceDE w:val="0"/>
        <w:autoSpaceDN w:val="0"/>
        <w:adjustRightInd w:val="0"/>
        <w:spacing w:line="480" w:lineRule="auto"/>
        <w:ind w:firstLine="720"/>
        <w:rPr>
          <w:rFonts w:ascii="Garamond" w:hAnsi="Garamond" w:cs="CenturySchoolbook"/>
        </w:rPr>
      </w:pPr>
      <w:r w:rsidRPr="00DB6001">
        <w:rPr>
          <w:rFonts w:ascii="Garamond" w:hAnsi="Garamond"/>
        </w:rPr>
        <w:t xml:space="preserve">The Secretary relied on recent Supreme Court authority of </w:t>
      </w:r>
      <w:r w:rsidRPr="00DB6001">
        <w:rPr>
          <w:rFonts w:ascii="Garamond" w:hAnsi="Garamond" w:cs="CenturySchoolbook-Italic"/>
          <w:i/>
          <w:iCs/>
        </w:rPr>
        <w:t>Seminole Tribe of Fla. v. Florida</w:t>
      </w:r>
      <w:r w:rsidRPr="00DB6001">
        <w:rPr>
          <w:rFonts w:ascii="Garamond" w:hAnsi="Garamond" w:cs="CenturySchoolbook"/>
        </w:rPr>
        <w:t xml:space="preserve">, 517 U.S. 44 (1996), and </w:t>
      </w:r>
      <w:r w:rsidRPr="00DB6001">
        <w:rPr>
          <w:rFonts w:ascii="Garamond" w:hAnsi="Garamond" w:cs="CenturySchoolbook-Italic"/>
          <w:i/>
          <w:iCs/>
        </w:rPr>
        <w:t>Nelson v. La Crosse County Dist. Att’y</w:t>
      </w:r>
      <w:r w:rsidRPr="00DB6001">
        <w:rPr>
          <w:rFonts w:ascii="Garamond" w:hAnsi="Garamond" w:cs="CenturySchoolbook"/>
        </w:rPr>
        <w:t xml:space="preserve">, 301 F.3d 820 (7th Cir. 2002). However, the bankruptcy court decided that “as the Slaytons rightly point out, however, the Secretary’s reliance on these cases suggests he is a bit behind the times.”  </w:t>
      </w:r>
    </w:p>
    <w:p w:rsidR="00DB6001" w:rsidRPr="00DB6001" w:rsidRDefault="00337326" w:rsidP="00DB6001">
      <w:pPr>
        <w:spacing w:line="480" w:lineRule="auto"/>
        <w:ind w:firstLine="720"/>
        <w:rPr>
          <w:rFonts w:ascii="Garamond" w:hAnsi="Garamond"/>
        </w:rPr>
      </w:pPr>
      <w:r w:rsidRPr="00DB6001">
        <w:rPr>
          <w:rFonts w:ascii="Garamond" w:hAnsi="Garamond"/>
        </w:rPr>
        <w:t>Sovereign immunity</w:t>
      </w:r>
      <w:r w:rsidR="007B1CE4" w:rsidRPr="00DB6001">
        <w:rPr>
          <w:rFonts w:ascii="Garamond" w:hAnsi="Garamond"/>
        </w:rPr>
        <w:t xml:space="preserve"> can be abrogated in one of three ways:</w:t>
      </w:r>
    </w:p>
    <w:p w:rsidR="00337326" w:rsidRPr="00DB6001" w:rsidRDefault="007B1CE4" w:rsidP="00DB6001">
      <w:pPr>
        <w:autoSpaceDE w:val="0"/>
        <w:autoSpaceDN w:val="0"/>
        <w:adjustRightInd w:val="0"/>
        <w:ind w:left="720"/>
        <w:rPr>
          <w:rFonts w:ascii="Garamond" w:hAnsi="Garamond" w:cs="CenturySchoolbook"/>
        </w:rPr>
      </w:pPr>
      <w:r w:rsidRPr="00DB6001">
        <w:rPr>
          <w:rFonts w:ascii="Garamond" w:hAnsi="Garamond" w:cs="CenturySchoolbook"/>
        </w:rPr>
        <w:t>Traditionally, there have been three exceptions to Eleventh Amendment</w:t>
      </w:r>
      <w:r w:rsidR="00337326" w:rsidRPr="00DB6001">
        <w:rPr>
          <w:rFonts w:ascii="Garamond" w:hAnsi="Garamond" w:cs="CenturySchoolbook"/>
        </w:rPr>
        <w:t xml:space="preserve"> </w:t>
      </w:r>
      <w:r w:rsidRPr="00DB6001">
        <w:rPr>
          <w:rFonts w:ascii="Garamond" w:hAnsi="Garamond" w:cs="CenturySchoolbook"/>
        </w:rPr>
        <w:t>immunity. First, a state may waive immunity by consenting to be sued in federal</w:t>
      </w:r>
      <w:r w:rsidR="00337326" w:rsidRPr="00DB6001">
        <w:rPr>
          <w:rFonts w:ascii="Garamond" w:hAnsi="Garamond" w:cs="CenturySchoolbook"/>
        </w:rPr>
        <w:t xml:space="preserve"> </w:t>
      </w:r>
      <w:r w:rsidRPr="00DB6001">
        <w:rPr>
          <w:rFonts w:ascii="Garamond" w:hAnsi="Garamond" w:cs="CenturySchoolbook"/>
        </w:rPr>
        <w:t xml:space="preserve">court. </w:t>
      </w:r>
      <w:r w:rsidRPr="00DB6001">
        <w:rPr>
          <w:rFonts w:ascii="Garamond" w:hAnsi="Garamond" w:cs="CenturySchoolbook-Italic"/>
          <w:i/>
          <w:iCs/>
        </w:rPr>
        <w:t xml:space="preserve">Id. </w:t>
      </w:r>
      <w:r w:rsidRPr="00DB6001">
        <w:rPr>
          <w:rFonts w:ascii="Garamond" w:hAnsi="Garamond" w:cs="CenturySchoolbook"/>
        </w:rPr>
        <w:t>Second, Congress may abrogate the state’s immunity “through a valid</w:t>
      </w:r>
      <w:r w:rsidR="00337326" w:rsidRPr="00DB6001">
        <w:rPr>
          <w:rFonts w:ascii="Garamond" w:hAnsi="Garamond" w:cs="CenturySchoolbook"/>
        </w:rPr>
        <w:t xml:space="preserve"> </w:t>
      </w:r>
      <w:r w:rsidRPr="00DB6001">
        <w:rPr>
          <w:rFonts w:ascii="Garamond" w:hAnsi="Garamond" w:cs="CenturySchoolbook"/>
        </w:rPr>
        <w:t xml:space="preserve">exercise of its powers.” </w:t>
      </w:r>
      <w:r w:rsidRPr="00DB6001">
        <w:rPr>
          <w:rFonts w:ascii="Garamond" w:hAnsi="Garamond" w:cs="CenturySchoolbook-Italic"/>
          <w:i/>
          <w:iCs/>
        </w:rPr>
        <w:t>Id.</w:t>
      </w:r>
      <w:r w:rsidRPr="00DB6001">
        <w:rPr>
          <w:rFonts w:ascii="Garamond" w:hAnsi="Garamond" w:cs="CenturySchoolbook"/>
        </w:rPr>
        <w:t xml:space="preserve">; </w:t>
      </w:r>
      <w:r w:rsidRPr="00DB6001">
        <w:rPr>
          <w:rFonts w:ascii="Garamond" w:hAnsi="Garamond" w:cs="CenturySchoolbook-Italic"/>
          <w:i/>
          <w:iCs/>
        </w:rPr>
        <w:t>see also Toeller v. Wisconsin Dep’t of Corrections</w:t>
      </w:r>
      <w:r w:rsidRPr="00DB6001">
        <w:rPr>
          <w:rFonts w:ascii="Garamond" w:hAnsi="Garamond" w:cs="CenturySchoolbook"/>
        </w:rPr>
        <w:t xml:space="preserve">, 461 F.3d 871, 875 (7th Cir. 2006). And third, under the doctrine of </w:t>
      </w:r>
      <w:r w:rsidRPr="00DB6001">
        <w:rPr>
          <w:rFonts w:ascii="Garamond" w:hAnsi="Garamond" w:cs="CenturySchoolbook-Italic"/>
          <w:i/>
          <w:iCs/>
        </w:rPr>
        <w:t>Ex parte Young</w:t>
      </w:r>
      <w:r w:rsidRPr="00DB6001">
        <w:rPr>
          <w:rFonts w:ascii="Garamond" w:hAnsi="Garamond" w:cs="CenturySchoolbook"/>
        </w:rPr>
        <w:t>, 209 U.S. 123 (1908), a plaintiff may “file ‘suit[ ] against state officials seeking prospective equitable relief for ongoing violations of federal law.’</w:t>
      </w:r>
    </w:p>
    <w:p w:rsidR="00291779" w:rsidRDefault="00291779" w:rsidP="00DB6001">
      <w:pPr>
        <w:autoSpaceDE w:val="0"/>
        <w:autoSpaceDN w:val="0"/>
        <w:adjustRightInd w:val="0"/>
        <w:ind w:left="720"/>
        <w:rPr>
          <w:rFonts w:ascii="Garamond" w:hAnsi="Garamond" w:cs="CenturySchoolbook-Italic"/>
          <w:i/>
          <w:iCs/>
        </w:rPr>
      </w:pPr>
    </w:p>
    <w:p w:rsidR="007B1CE4" w:rsidRPr="00DB6001" w:rsidRDefault="007B1CE4" w:rsidP="00DB6001">
      <w:pPr>
        <w:autoSpaceDE w:val="0"/>
        <w:autoSpaceDN w:val="0"/>
        <w:adjustRightInd w:val="0"/>
        <w:ind w:left="720"/>
        <w:rPr>
          <w:rFonts w:ascii="Garamond" w:hAnsi="Garamond" w:cs="CenturySchoolbook"/>
        </w:rPr>
      </w:pPr>
      <w:r w:rsidRPr="00DB6001">
        <w:rPr>
          <w:rFonts w:ascii="Garamond" w:hAnsi="Garamond" w:cs="CenturySchoolbook-Italic"/>
          <w:i/>
          <w:iCs/>
        </w:rPr>
        <w:t>Peirick</w:t>
      </w:r>
      <w:r w:rsidRPr="00DB6001">
        <w:rPr>
          <w:rFonts w:ascii="Garamond" w:hAnsi="Garamond" w:cs="CenturySchoolbook"/>
        </w:rPr>
        <w:t xml:space="preserve">, 510 F.3d at 695 (quoting </w:t>
      </w:r>
      <w:r w:rsidRPr="00DB6001">
        <w:rPr>
          <w:rFonts w:ascii="Garamond" w:hAnsi="Garamond" w:cs="CenturySchoolbook-Italic"/>
          <w:i/>
          <w:iCs/>
        </w:rPr>
        <w:t>Marie O. v. Edgar</w:t>
      </w:r>
      <w:r w:rsidRPr="00DB6001">
        <w:rPr>
          <w:rFonts w:ascii="Garamond" w:hAnsi="Garamond" w:cs="CenturySchoolbook"/>
        </w:rPr>
        <w:t xml:space="preserve">, 131 F.3d 610, 615 (7th Cir. 1997)). </w:t>
      </w:r>
    </w:p>
    <w:p w:rsidR="007B1CE4" w:rsidRPr="00DB6001" w:rsidRDefault="007B1CE4" w:rsidP="00DB6001">
      <w:pPr>
        <w:autoSpaceDE w:val="0"/>
        <w:autoSpaceDN w:val="0"/>
        <w:adjustRightInd w:val="0"/>
        <w:ind w:left="720"/>
        <w:rPr>
          <w:rFonts w:ascii="Garamond" w:hAnsi="Garamond" w:cs="CenturySchoolbook"/>
        </w:rPr>
      </w:pPr>
      <w:r w:rsidRPr="00DB6001">
        <w:rPr>
          <w:rFonts w:ascii="Garamond" w:hAnsi="Garamond" w:cs="CenturySchoolbook"/>
        </w:rPr>
        <w:t xml:space="preserve">In section106(a) of the Bankruptcy Code, Congress sought to employ the second of these exceptions, abrogating the sovereign immunity of every “governmental unit” with respect to many sections of the Code, including sections 524 and 525 under which the Slaytons have brought their claims. </w:t>
      </w:r>
      <w:r w:rsidRPr="00DB6001">
        <w:rPr>
          <w:rFonts w:ascii="Garamond" w:hAnsi="Garamond" w:cs="CenturySchoolbook-Italic"/>
          <w:i/>
          <w:iCs/>
        </w:rPr>
        <w:t xml:space="preserve">See </w:t>
      </w:r>
      <w:r w:rsidRPr="00DB6001">
        <w:rPr>
          <w:rFonts w:ascii="Garamond" w:hAnsi="Garamond" w:cs="CenturySchoolbook"/>
        </w:rPr>
        <w:t>11 U.S.C. § 106(a).</w:t>
      </w:r>
    </w:p>
    <w:p w:rsidR="00645889" w:rsidRPr="00DB6001" w:rsidRDefault="00645889" w:rsidP="00DB6001">
      <w:pPr>
        <w:autoSpaceDE w:val="0"/>
        <w:autoSpaceDN w:val="0"/>
        <w:adjustRightInd w:val="0"/>
        <w:spacing w:line="480" w:lineRule="auto"/>
        <w:rPr>
          <w:rFonts w:ascii="Garamond" w:hAnsi="Garamond" w:cs="CenturySchoolbook"/>
        </w:rPr>
      </w:pPr>
    </w:p>
    <w:p w:rsidR="00645889" w:rsidRPr="00DB6001" w:rsidRDefault="00645889" w:rsidP="00DB6001">
      <w:pPr>
        <w:autoSpaceDE w:val="0"/>
        <w:autoSpaceDN w:val="0"/>
        <w:adjustRightInd w:val="0"/>
        <w:spacing w:line="480" w:lineRule="auto"/>
        <w:ind w:firstLine="720"/>
        <w:rPr>
          <w:rFonts w:ascii="Garamond" w:hAnsi="Garamond" w:cs="CenturySchoolbook"/>
        </w:rPr>
      </w:pPr>
      <w:r w:rsidRPr="00DB6001">
        <w:rPr>
          <w:rFonts w:ascii="Garamond" w:hAnsi="Garamond" w:cs="CenturySchoolbook"/>
        </w:rPr>
        <w:lastRenderedPageBreak/>
        <w:t xml:space="preserve">Judge Goldgar noted that under </w:t>
      </w:r>
      <w:r w:rsidRPr="00DB6001">
        <w:rPr>
          <w:rFonts w:ascii="Garamond" w:hAnsi="Garamond" w:cs="CenturySchoolbook"/>
          <w:i/>
        </w:rPr>
        <w:t>Seminole</w:t>
      </w:r>
      <w:r w:rsidRPr="00DB6001">
        <w:rPr>
          <w:rFonts w:ascii="Garamond" w:hAnsi="Garamond" w:cs="CenturySchoolbook"/>
        </w:rPr>
        <w:t xml:space="preserve"> and </w:t>
      </w:r>
      <w:r w:rsidRPr="00DB6001">
        <w:rPr>
          <w:rFonts w:ascii="Garamond" w:hAnsi="Garamond" w:cs="CenturySchoolbook"/>
          <w:i/>
        </w:rPr>
        <w:t xml:space="preserve">Nelson, </w:t>
      </w:r>
      <w:r w:rsidRPr="00DB6001">
        <w:rPr>
          <w:rFonts w:ascii="Garamond" w:hAnsi="Garamond" w:cs="CenturySchoolbook"/>
        </w:rPr>
        <w:t>the Slaytons’ claim l</w:t>
      </w:r>
      <w:r w:rsidR="00DB6001">
        <w:rPr>
          <w:rFonts w:ascii="Garamond" w:hAnsi="Garamond" w:cs="CenturySchoolbook"/>
        </w:rPr>
        <w:t xml:space="preserve">ikely would be barred.  </w:t>
      </w:r>
    </w:p>
    <w:p w:rsidR="007B1CE4" w:rsidRPr="00DB6001" w:rsidRDefault="007B1CE4" w:rsidP="00DB6001">
      <w:pPr>
        <w:autoSpaceDE w:val="0"/>
        <w:autoSpaceDN w:val="0"/>
        <w:adjustRightInd w:val="0"/>
        <w:ind w:firstLine="720"/>
        <w:rPr>
          <w:rFonts w:ascii="Garamond" w:hAnsi="Garamond" w:cs="CenturySchoolbook-Italic"/>
          <w:i/>
          <w:iCs/>
        </w:rPr>
      </w:pPr>
      <w:r w:rsidRPr="00DB6001">
        <w:rPr>
          <w:rFonts w:ascii="Garamond" w:hAnsi="Garamond" w:cs="CenturySchoolbook"/>
        </w:rPr>
        <w:t xml:space="preserve">Two years after </w:t>
      </w:r>
      <w:r w:rsidRPr="00DB6001">
        <w:rPr>
          <w:rFonts w:ascii="Garamond" w:hAnsi="Garamond" w:cs="CenturySchoolbook-Italic"/>
          <w:i/>
          <w:iCs/>
        </w:rPr>
        <w:t>Nelson</w:t>
      </w:r>
      <w:r w:rsidRPr="00DB6001">
        <w:rPr>
          <w:rFonts w:ascii="Garamond" w:hAnsi="Garamond" w:cs="CenturySchoolbook"/>
        </w:rPr>
        <w:t xml:space="preserve">, however, the Supreme Court in </w:t>
      </w:r>
      <w:r w:rsidRPr="00DB6001">
        <w:rPr>
          <w:rFonts w:ascii="Garamond" w:hAnsi="Garamond" w:cs="CenturySchoolbook-Italic"/>
          <w:i/>
          <w:iCs/>
        </w:rPr>
        <w:t>Tennessee Student</w:t>
      </w:r>
    </w:p>
    <w:p w:rsidR="00645889" w:rsidRDefault="007B1CE4" w:rsidP="002F3816">
      <w:pPr>
        <w:autoSpaceDE w:val="0"/>
        <w:autoSpaceDN w:val="0"/>
        <w:adjustRightInd w:val="0"/>
        <w:ind w:left="720"/>
        <w:rPr>
          <w:rFonts w:ascii="Garamond" w:hAnsi="Garamond" w:cs="CenturySchoolbook"/>
        </w:rPr>
      </w:pPr>
      <w:r w:rsidRPr="00DB6001">
        <w:rPr>
          <w:rFonts w:ascii="Garamond" w:hAnsi="Garamond" w:cs="CenturySchoolbook-Italic"/>
          <w:i/>
          <w:iCs/>
        </w:rPr>
        <w:t>Assistance Corp. v. Hood</w:t>
      </w:r>
      <w:r w:rsidRPr="00DB6001">
        <w:rPr>
          <w:rFonts w:ascii="Garamond" w:hAnsi="Garamond" w:cs="CenturySchoolbook"/>
        </w:rPr>
        <w:t>, 541 U.S. 440 (2004), addressed Eleventh Amendment</w:t>
      </w:r>
      <w:r w:rsidR="00337326" w:rsidRPr="00DB6001">
        <w:rPr>
          <w:rFonts w:ascii="Garamond" w:hAnsi="Garamond" w:cs="CenturySchoolbook"/>
        </w:rPr>
        <w:t xml:space="preserve"> </w:t>
      </w:r>
      <w:r w:rsidRPr="00DB6001">
        <w:rPr>
          <w:rFonts w:ascii="Garamond" w:hAnsi="Garamond" w:cs="CenturySchoolbook"/>
        </w:rPr>
        <w:t>immunity in the bankruptcy context and found no bar to a chapter 7 debtor’s</w:t>
      </w:r>
      <w:r w:rsidR="00337326" w:rsidRPr="00DB6001">
        <w:rPr>
          <w:rFonts w:ascii="Garamond" w:hAnsi="Garamond" w:cs="CenturySchoolbook"/>
        </w:rPr>
        <w:t xml:space="preserve"> </w:t>
      </w:r>
      <w:r w:rsidRPr="00DB6001">
        <w:rPr>
          <w:rFonts w:ascii="Garamond" w:hAnsi="Garamond" w:cs="CenturySchoolbook"/>
        </w:rPr>
        <w:t>adversary proceeding against a state agency seeking the discharge of her student</w:t>
      </w:r>
      <w:r w:rsidR="00337326" w:rsidRPr="00DB6001">
        <w:rPr>
          <w:rFonts w:ascii="Garamond" w:hAnsi="Garamond" w:cs="CenturySchoolbook"/>
        </w:rPr>
        <w:t xml:space="preserve"> </w:t>
      </w:r>
      <w:r w:rsidRPr="00DB6001">
        <w:rPr>
          <w:rFonts w:ascii="Garamond" w:hAnsi="Garamond" w:cs="CenturySchoolbook"/>
        </w:rPr>
        <w:t xml:space="preserve">loan obligations as an undue hardship. </w:t>
      </w:r>
      <w:r w:rsidRPr="00DB6001">
        <w:rPr>
          <w:rFonts w:ascii="Garamond" w:hAnsi="Garamond" w:cs="CenturySchoolbook-Italic"/>
          <w:i/>
          <w:iCs/>
        </w:rPr>
        <w:t xml:space="preserve">Id. </w:t>
      </w:r>
      <w:r w:rsidRPr="00DB6001">
        <w:rPr>
          <w:rFonts w:ascii="Garamond" w:hAnsi="Garamond" w:cs="CenturySchoolbook"/>
        </w:rPr>
        <w:t>at 444-45. Rather than consider the</w:t>
      </w:r>
      <w:r w:rsidR="00337326" w:rsidRPr="00DB6001">
        <w:rPr>
          <w:rFonts w:ascii="Garamond" w:hAnsi="Garamond" w:cs="CenturySchoolbook"/>
        </w:rPr>
        <w:t xml:space="preserve"> </w:t>
      </w:r>
      <w:r w:rsidRPr="00DB6001">
        <w:rPr>
          <w:rFonts w:ascii="Garamond" w:hAnsi="Garamond" w:cs="CenturySchoolbook"/>
        </w:rPr>
        <w:t>problem as one of section 106(a) abrogation, the Court held that unconsenting</w:t>
      </w:r>
      <w:r w:rsidR="00337326" w:rsidRPr="00DB6001">
        <w:rPr>
          <w:rFonts w:ascii="Garamond" w:hAnsi="Garamond" w:cs="CenturySchoolbook"/>
        </w:rPr>
        <w:t xml:space="preserve"> </w:t>
      </w:r>
      <w:r w:rsidRPr="00DB6001">
        <w:rPr>
          <w:rFonts w:ascii="Garamond" w:hAnsi="Garamond" w:cs="CenturySchoolbook"/>
        </w:rPr>
        <w:t xml:space="preserve">states could be subjected to judicial actions that are </w:t>
      </w:r>
      <w:r w:rsidRPr="00DB6001">
        <w:rPr>
          <w:rFonts w:ascii="Garamond" w:hAnsi="Garamond" w:cs="CenturySchoolbook-Italic"/>
          <w:i/>
          <w:iCs/>
        </w:rPr>
        <w:t xml:space="preserve">in rem </w:t>
      </w:r>
      <w:r w:rsidRPr="00DB6001">
        <w:rPr>
          <w:rFonts w:ascii="Garamond" w:hAnsi="Garamond" w:cs="CenturySchoolbook"/>
        </w:rPr>
        <w:t xml:space="preserve">as opposed to </w:t>
      </w:r>
      <w:r w:rsidRPr="00DB6001">
        <w:rPr>
          <w:rFonts w:ascii="Garamond" w:hAnsi="Garamond" w:cs="CenturySchoolbook-Italic"/>
          <w:i/>
          <w:iCs/>
        </w:rPr>
        <w:t>in</w:t>
      </w:r>
      <w:r w:rsidR="00DB6001">
        <w:rPr>
          <w:rFonts w:ascii="Garamond" w:hAnsi="Garamond" w:cs="CenturySchoolbook"/>
        </w:rPr>
        <w:t xml:space="preserve"> </w:t>
      </w:r>
      <w:r w:rsidRPr="00DB6001">
        <w:rPr>
          <w:rFonts w:ascii="Garamond" w:hAnsi="Garamond" w:cs="CenturySchoolbook-Italic"/>
          <w:i/>
          <w:iCs/>
        </w:rPr>
        <w:t>personam</w:t>
      </w:r>
      <w:r w:rsidRPr="00DB6001">
        <w:rPr>
          <w:rFonts w:ascii="Garamond" w:hAnsi="Garamond" w:cs="CenturySchoolbook"/>
        </w:rPr>
        <w:t xml:space="preserve">, </w:t>
      </w:r>
      <w:r w:rsidRPr="00DB6001">
        <w:rPr>
          <w:rFonts w:ascii="Garamond" w:hAnsi="Garamond" w:cs="CenturySchoolbook-Italic"/>
          <w:i/>
          <w:iCs/>
        </w:rPr>
        <w:t xml:space="preserve">id. </w:t>
      </w:r>
      <w:r w:rsidRPr="00DB6001">
        <w:rPr>
          <w:rFonts w:ascii="Garamond" w:hAnsi="Garamond" w:cs="CenturySchoolbook"/>
        </w:rPr>
        <w:t xml:space="preserve">at 446, and that the discharge of a debt in bankruptcy is “an </w:t>
      </w:r>
      <w:r w:rsidRPr="00DB6001">
        <w:rPr>
          <w:rFonts w:ascii="Garamond" w:hAnsi="Garamond" w:cs="CenturySchoolbook-Italic"/>
          <w:i/>
          <w:iCs/>
        </w:rPr>
        <w:t>in rem</w:t>
      </w:r>
      <w:r w:rsidR="00337326" w:rsidRPr="00DB6001">
        <w:rPr>
          <w:rFonts w:ascii="Garamond" w:hAnsi="Garamond" w:cs="CenturySchoolbook-Italic"/>
          <w:i/>
          <w:iCs/>
        </w:rPr>
        <w:t xml:space="preserve"> </w:t>
      </w:r>
      <w:r w:rsidRPr="00DB6001">
        <w:rPr>
          <w:rFonts w:ascii="Garamond" w:hAnsi="Garamond" w:cs="CenturySchoolbook"/>
        </w:rPr>
        <w:t xml:space="preserve">proceeding,” </w:t>
      </w:r>
      <w:r w:rsidRPr="00DB6001">
        <w:rPr>
          <w:rFonts w:ascii="Garamond" w:hAnsi="Garamond" w:cs="CenturySchoolbook-Italic"/>
          <w:i/>
          <w:iCs/>
        </w:rPr>
        <w:t xml:space="preserve">id. </w:t>
      </w:r>
      <w:r w:rsidRPr="00DB6001">
        <w:rPr>
          <w:rFonts w:ascii="Garamond" w:hAnsi="Garamond" w:cs="CenturySchoolbook"/>
        </w:rPr>
        <w:t>at 447. A debtor seeking only the discharge of a debt, the Court</w:t>
      </w:r>
      <w:r w:rsidR="00DB6001">
        <w:rPr>
          <w:rFonts w:ascii="Garamond" w:hAnsi="Garamond" w:cs="CenturySchoolbook"/>
        </w:rPr>
        <w:t xml:space="preserve"> </w:t>
      </w:r>
      <w:r w:rsidRPr="00DB6001">
        <w:rPr>
          <w:rFonts w:ascii="Garamond" w:hAnsi="Garamond" w:cs="CenturySchoolbook"/>
        </w:rPr>
        <w:t xml:space="preserve">reasoned, does not “subject an unwilling State to a coercive judicial process.” </w:t>
      </w:r>
      <w:r w:rsidRPr="00DB6001">
        <w:rPr>
          <w:rFonts w:ascii="Garamond" w:hAnsi="Garamond" w:cs="CenturySchoolbook-Italic"/>
          <w:i/>
          <w:iCs/>
        </w:rPr>
        <w:t xml:space="preserve">Id. </w:t>
      </w:r>
      <w:r w:rsidRPr="00DB6001">
        <w:rPr>
          <w:rFonts w:ascii="Garamond" w:hAnsi="Garamond" w:cs="CenturySchoolbook"/>
        </w:rPr>
        <w:t>at</w:t>
      </w:r>
      <w:r w:rsidR="00645889" w:rsidRPr="00DB6001">
        <w:rPr>
          <w:rFonts w:ascii="Garamond" w:hAnsi="Garamond" w:cs="CenturySchoolbook"/>
        </w:rPr>
        <w:t xml:space="preserve"> </w:t>
      </w:r>
      <w:r w:rsidRPr="00DB6001">
        <w:rPr>
          <w:rFonts w:ascii="Garamond" w:hAnsi="Garamond" w:cs="CenturySchoolbook"/>
        </w:rPr>
        <w:t>450. A discharge determination is therefore “not a suit against a State for purposes</w:t>
      </w:r>
      <w:r w:rsidR="00645889" w:rsidRPr="00DB6001">
        <w:rPr>
          <w:rFonts w:ascii="Garamond" w:hAnsi="Garamond" w:cs="CenturySchoolbook"/>
        </w:rPr>
        <w:t xml:space="preserve"> </w:t>
      </w:r>
      <w:r w:rsidRPr="00DB6001">
        <w:rPr>
          <w:rFonts w:ascii="Garamond" w:hAnsi="Garamond" w:cs="CenturySchoolbook"/>
        </w:rPr>
        <w:t xml:space="preserve">of the Eleventh Amendment.” </w:t>
      </w:r>
      <w:r w:rsidRPr="00DB6001">
        <w:rPr>
          <w:rFonts w:ascii="Garamond" w:hAnsi="Garamond" w:cs="CenturySchoolbook-Italic"/>
          <w:i/>
          <w:iCs/>
        </w:rPr>
        <w:t xml:space="preserve">Id. </w:t>
      </w:r>
      <w:r w:rsidRPr="00DB6001">
        <w:rPr>
          <w:rFonts w:ascii="Garamond" w:hAnsi="Garamond" w:cs="CenturySchoolbook"/>
        </w:rPr>
        <w:t>at 451.</w:t>
      </w:r>
    </w:p>
    <w:p w:rsidR="002F3816" w:rsidRPr="00DB6001" w:rsidRDefault="002F3816" w:rsidP="002F3816">
      <w:pPr>
        <w:autoSpaceDE w:val="0"/>
        <w:autoSpaceDN w:val="0"/>
        <w:adjustRightInd w:val="0"/>
        <w:ind w:left="720"/>
        <w:rPr>
          <w:rFonts w:ascii="Garamond" w:hAnsi="Garamond" w:cs="CenturySchoolbook"/>
        </w:rPr>
      </w:pPr>
    </w:p>
    <w:p w:rsidR="00645889" w:rsidRPr="00DB6001" w:rsidRDefault="00645889" w:rsidP="00DB6001">
      <w:pPr>
        <w:autoSpaceDE w:val="0"/>
        <w:autoSpaceDN w:val="0"/>
        <w:adjustRightInd w:val="0"/>
        <w:spacing w:line="480" w:lineRule="auto"/>
        <w:rPr>
          <w:rFonts w:ascii="Garamond" w:hAnsi="Garamond" w:cs="CenturySchoolbook-Italic"/>
          <w:iCs/>
        </w:rPr>
      </w:pPr>
      <w:r w:rsidRPr="00DB6001">
        <w:rPr>
          <w:rFonts w:ascii="Garamond" w:hAnsi="Garamond" w:cs="CenturySchoolbook"/>
        </w:rPr>
        <w:tab/>
        <w:t xml:space="preserve">Judge Goldgar went on to carefully analyze the </w:t>
      </w:r>
      <w:r w:rsidRPr="00DB6001">
        <w:rPr>
          <w:rFonts w:ascii="Garamond" w:hAnsi="Garamond" w:cs="CenturySchoolbook"/>
          <w:i/>
        </w:rPr>
        <w:t>in rem</w:t>
      </w:r>
      <w:r w:rsidRPr="00DB6001">
        <w:rPr>
          <w:rFonts w:ascii="Garamond" w:hAnsi="Garamond" w:cs="CenturySchoolbook"/>
        </w:rPr>
        <w:t xml:space="preserve"> jurisdiction of the bankruptcy court as well as the ancillary</w:t>
      </w:r>
      <w:r w:rsidRPr="00DB6001">
        <w:rPr>
          <w:rFonts w:ascii="Garamond" w:hAnsi="Garamond" w:cs="CenturySchoolbook"/>
          <w:i/>
        </w:rPr>
        <w:t xml:space="preserve"> in rem</w:t>
      </w:r>
      <w:r w:rsidRPr="00DB6001">
        <w:rPr>
          <w:rFonts w:ascii="Garamond" w:hAnsi="Garamond" w:cs="CenturySchoolbook"/>
        </w:rPr>
        <w:t xml:space="preserve"> jurisdiction of the Bankruptcy Court addressed by the Supreme Court in </w:t>
      </w:r>
      <w:r w:rsidRPr="00DB6001">
        <w:rPr>
          <w:rFonts w:ascii="Garamond" w:hAnsi="Garamond" w:cs="CenturySchoolbook-Italic"/>
          <w:i/>
          <w:iCs/>
        </w:rPr>
        <w:t>Central Va. Cmty. College v. Katz</w:t>
      </w:r>
      <w:r w:rsidRPr="00DB6001">
        <w:rPr>
          <w:rFonts w:ascii="Garamond" w:hAnsi="Garamond" w:cs="CenturySchoolbook"/>
        </w:rPr>
        <w:t>, 546 U.S. 356 (2006), which concerned a trustee’s action to</w:t>
      </w:r>
      <w:r w:rsidRPr="00DB6001">
        <w:rPr>
          <w:rFonts w:ascii="Garamond" w:hAnsi="Garamond" w:cs="CenturySchoolbook-Italic"/>
          <w:i/>
          <w:iCs/>
        </w:rPr>
        <w:t xml:space="preserve"> </w:t>
      </w:r>
      <w:r w:rsidRPr="00DB6001">
        <w:rPr>
          <w:rFonts w:ascii="Garamond" w:hAnsi="Garamond" w:cs="CenturySchoolbook"/>
        </w:rPr>
        <w:t xml:space="preserve">recover preferential payments made to state agencies.  The Court held that the provision authorizing Congress the exclusive right to regulate bankruptcy in Article I, section 8 of the </w:t>
      </w:r>
      <w:r w:rsidR="00291779" w:rsidRPr="00DB6001">
        <w:rPr>
          <w:rFonts w:ascii="Garamond" w:hAnsi="Garamond" w:cs="CenturySchoolbook"/>
        </w:rPr>
        <w:t>Constitution</w:t>
      </w:r>
      <w:r w:rsidRPr="00DB6001">
        <w:rPr>
          <w:rFonts w:ascii="Garamond" w:hAnsi="Garamond" w:cs="CenturySchoolbook"/>
        </w:rPr>
        <w:t xml:space="preserve"> was an important part of the Plan of the Convention to avoid a patchwork quilt of insolvency laws around the country.  The point of this is that Congress intended states to be amenable to bankruptcy jurisdiction to the extent provided by bankruptcy laws because the jurisdiction of the bankruptcy court is either </w:t>
      </w:r>
      <w:r w:rsidRPr="00DB6001">
        <w:rPr>
          <w:rFonts w:ascii="Garamond" w:hAnsi="Garamond" w:cs="CenturySchoolbook"/>
          <w:i/>
        </w:rPr>
        <w:t>in rem</w:t>
      </w:r>
      <w:r w:rsidRPr="00DB6001">
        <w:rPr>
          <w:rFonts w:ascii="Garamond" w:hAnsi="Garamond" w:cs="CenturySchoolbook"/>
        </w:rPr>
        <w:t xml:space="preserve"> or “ancillary” to </w:t>
      </w:r>
      <w:r w:rsidRPr="00DB6001">
        <w:rPr>
          <w:rFonts w:ascii="Garamond" w:hAnsi="Garamond" w:cs="CenturySchoolbook"/>
          <w:i/>
        </w:rPr>
        <w:t xml:space="preserve">in rem </w:t>
      </w:r>
      <w:r w:rsidRPr="00DB6001">
        <w:rPr>
          <w:rFonts w:ascii="Garamond" w:hAnsi="Garamond" w:cs="CenturySchoolbook"/>
        </w:rPr>
        <w:t xml:space="preserve">jurisdiction.  </w:t>
      </w:r>
      <w:r w:rsidRPr="00DB6001">
        <w:rPr>
          <w:rStyle w:val="FootnoteReference"/>
          <w:rFonts w:ascii="Garamond" w:hAnsi="Garamond" w:cs="CenturySchoolbook"/>
        </w:rPr>
        <w:footnoteReference w:id="3"/>
      </w:r>
    </w:p>
    <w:p w:rsidR="00645889" w:rsidRPr="00DB6001" w:rsidRDefault="00645889" w:rsidP="00DB6001">
      <w:pPr>
        <w:autoSpaceDE w:val="0"/>
        <w:autoSpaceDN w:val="0"/>
        <w:adjustRightInd w:val="0"/>
        <w:spacing w:line="480" w:lineRule="auto"/>
        <w:rPr>
          <w:rFonts w:ascii="Garamond" w:hAnsi="Garamond" w:cs="CenturySchoolbook"/>
        </w:rPr>
      </w:pPr>
      <w:r w:rsidRPr="00DB6001">
        <w:rPr>
          <w:rFonts w:ascii="Garamond" w:hAnsi="Garamond" w:cs="CenturySchoolbook"/>
        </w:rPr>
        <w:tab/>
        <w:t>So the bankruptcy court denied the State’s motion to dismiss the Slayton</w:t>
      </w:r>
      <w:r w:rsidR="00126C33" w:rsidRPr="00DB6001">
        <w:rPr>
          <w:rFonts w:ascii="Garamond" w:hAnsi="Garamond" w:cs="CenturySchoolbook"/>
        </w:rPr>
        <w:t xml:space="preserve">s’ </w:t>
      </w:r>
      <w:r w:rsidRPr="00DB6001">
        <w:rPr>
          <w:rFonts w:ascii="Garamond" w:hAnsi="Garamond" w:cs="CenturySchoolbook"/>
        </w:rPr>
        <w:t>complaint.</w:t>
      </w:r>
    </w:p>
    <w:p w:rsidR="007B1CE4" w:rsidRPr="00DB6001" w:rsidRDefault="00645889" w:rsidP="00DB6001">
      <w:pPr>
        <w:autoSpaceDE w:val="0"/>
        <w:autoSpaceDN w:val="0"/>
        <w:adjustRightInd w:val="0"/>
        <w:spacing w:line="480" w:lineRule="auto"/>
        <w:rPr>
          <w:rFonts w:ascii="Garamond" w:hAnsi="Garamond" w:cs="CenturySchoolbook"/>
        </w:rPr>
      </w:pPr>
      <w:r w:rsidRPr="00DB6001">
        <w:rPr>
          <w:rFonts w:ascii="Garamond" w:hAnsi="Garamond" w:cs="CenturySchoolbook"/>
        </w:rPr>
        <w:lastRenderedPageBreak/>
        <w:tab/>
        <w:t xml:space="preserve">The implications of this decision are important.  Section 525(a) is a limitation on state authority.  It is a limitation under the Bankruptcy Code.  The Bankruptcy Code is enacted by Congress pursuant to its constitutional rights under Article I section 8.  The right of Congress to limit the State’s authority is not an abrogation of sovereign immunity.  Rather it is a part of the Plan of the Convention.  The bankruptcy court has </w:t>
      </w:r>
      <w:r w:rsidRPr="00DB6001">
        <w:rPr>
          <w:rFonts w:ascii="Garamond" w:hAnsi="Garamond" w:cs="CenturySchoolbook"/>
          <w:i/>
        </w:rPr>
        <w:t>in rem</w:t>
      </w:r>
      <w:r w:rsidRPr="00DB6001">
        <w:rPr>
          <w:rFonts w:ascii="Garamond" w:hAnsi="Garamond" w:cs="CenturySchoolbook"/>
        </w:rPr>
        <w:t xml:space="preserve"> jurisdiction to enforce the provisions of Section 525(a) as well as jurisdiction ancillary to </w:t>
      </w:r>
      <w:r w:rsidRPr="00DB6001">
        <w:rPr>
          <w:rFonts w:ascii="Garamond" w:hAnsi="Garamond" w:cs="CenturySchoolbook"/>
          <w:i/>
        </w:rPr>
        <w:t xml:space="preserve">in rem </w:t>
      </w:r>
    </w:p>
    <w:p w:rsidR="00126C33" w:rsidRPr="00DB6001" w:rsidRDefault="0046298A" w:rsidP="00DB6001">
      <w:pPr>
        <w:spacing w:line="480" w:lineRule="auto"/>
        <w:ind w:firstLine="720"/>
        <w:rPr>
          <w:rFonts w:ascii="Garamond" w:hAnsi="Garamond"/>
        </w:rPr>
      </w:pPr>
      <w:r w:rsidRPr="00DB6001">
        <w:rPr>
          <w:rFonts w:ascii="Garamond" w:hAnsi="Garamond"/>
        </w:rPr>
        <w:t xml:space="preserve">The Seventh Circuit Court of Appeals has also resolved violations of the antidiscrimination clause of the Bankruptcy code in favor of a debtor with a cancelled license. </w:t>
      </w:r>
      <w:r w:rsidRPr="00DB6001">
        <w:rPr>
          <w:rFonts w:ascii="Garamond" w:hAnsi="Garamond"/>
          <w:i/>
          <w:iCs/>
        </w:rPr>
        <w:t xml:space="preserve">Airadigm Communications Inc. v. Federal Communications Commission, </w:t>
      </w:r>
      <w:r w:rsidRPr="00DB6001">
        <w:rPr>
          <w:rFonts w:ascii="Garamond" w:hAnsi="Garamond"/>
        </w:rPr>
        <w:t>519 F.3d 640 (7</w:t>
      </w:r>
      <w:r w:rsidRPr="00DB6001">
        <w:rPr>
          <w:rFonts w:ascii="Garamond" w:hAnsi="Garamond"/>
          <w:vertAlign w:val="superscript"/>
        </w:rPr>
        <w:t>th</w:t>
      </w:r>
      <w:r w:rsidRPr="00DB6001">
        <w:rPr>
          <w:rFonts w:ascii="Garamond" w:hAnsi="Garamond"/>
        </w:rPr>
        <w:t xml:space="preserve"> Cir. 2008). </w:t>
      </w:r>
    </w:p>
    <w:p w:rsidR="00126C33" w:rsidRPr="00DB6001" w:rsidRDefault="00126C33" w:rsidP="00EC759C">
      <w:pPr>
        <w:spacing w:line="480" w:lineRule="auto"/>
        <w:ind w:firstLine="720"/>
        <w:rPr>
          <w:rFonts w:ascii="Garamond" w:hAnsi="Garamond"/>
        </w:rPr>
      </w:pPr>
      <w:r w:rsidRPr="00DB6001">
        <w:rPr>
          <w:rFonts w:ascii="Garamond" w:hAnsi="Garamond"/>
          <w:i/>
        </w:rPr>
        <w:t xml:space="preserve">In re Adler, </w:t>
      </w:r>
      <w:r w:rsidRPr="00DB6001">
        <w:rPr>
          <w:rFonts w:ascii="Garamond" w:hAnsi="Garamond"/>
        </w:rPr>
        <w:t>47 B.R. 554 (Bankr. S.D. Fla. 1985</w:t>
      </w:r>
      <w:r w:rsidRPr="00DB6001">
        <w:rPr>
          <w:rFonts w:ascii="Garamond" w:hAnsi="Garamond"/>
          <w:u w:val="single"/>
        </w:rPr>
        <w:t>)</w:t>
      </w:r>
      <w:r w:rsidRPr="00DB6001">
        <w:rPr>
          <w:rFonts w:ascii="Garamond" w:hAnsi="Garamond"/>
          <w:i/>
        </w:rPr>
        <w:t xml:space="preserve">  </w:t>
      </w:r>
      <w:r w:rsidRPr="00DB6001">
        <w:rPr>
          <w:rFonts w:ascii="Garamond" w:hAnsi="Garamond"/>
        </w:rPr>
        <w:t xml:space="preserve">holds that section 525(a) prohibits enforcement of statute that allows state department of motor vehicles to suspend licenses and registrations of judgment debtors, even if motor-vehicle-related judgments against them were discharged in bankruptcy); ability to engage in a trade or business, </w:t>
      </w:r>
    </w:p>
    <w:p w:rsidR="00126C33" w:rsidRPr="00DB6001" w:rsidRDefault="00126C33" w:rsidP="00EC759C">
      <w:pPr>
        <w:spacing w:line="480" w:lineRule="auto"/>
        <w:ind w:firstLine="720"/>
        <w:rPr>
          <w:rFonts w:ascii="Garamond" w:hAnsi="Garamond"/>
        </w:rPr>
      </w:pPr>
      <w:r w:rsidRPr="00DB6001">
        <w:rPr>
          <w:rFonts w:ascii="Garamond" w:hAnsi="Garamond"/>
        </w:rPr>
        <w:t xml:space="preserve">Moreover, </w:t>
      </w:r>
      <w:r w:rsidRPr="00DB6001">
        <w:rPr>
          <w:rFonts w:ascii="Garamond" w:hAnsi="Garamond"/>
          <w:i/>
        </w:rPr>
        <w:t>In re Walker,</w:t>
      </w:r>
      <w:r w:rsidRPr="00DB6001">
        <w:rPr>
          <w:rFonts w:ascii="Garamond" w:hAnsi="Garamond"/>
        </w:rPr>
        <w:t xml:space="preserve"> 927 F.2d 1138 (10th Cir. 1991) found a  statute, which automatically revokes real estate license of any licensee for whom payment was made from real estate recovery fund, contravenes section 525(a).</w:t>
      </w:r>
    </w:p>
    <w:p w:rsidR="00B86D2D" w:rsidRPr="00DB6001" w:rsidRDefault="00126C33" w:rsidP="00EC759C">
      <w:pPr>
        <w:spacing w:line="480" w:lineRule="auto"/>
        <w:ind w:firstLine="720"/>
        <w:rPr>
          <w:rFonts w:ascii="Garamond" w:hAnsi="Garamond"/>
        </w:rPr>
      </w:pPr>
      <w:r w:rsidRPr="00DB6001">
        <w:rPr>
          <w:rFonts w:ascii="Garamond" w:hAnsi="Garamond"/>
          <w:i/>
        </w:rPr>
        <w:t>In re Heath</w:t>
      </w:r>
      <w:r w:rsidR="00731278">
        <w:rPr>
          <w:rFonts w:ascii="Garamond" w:hAnsi="Garamond"/>
        </w:rPr>
        <w:t>, 3 B.R.</w:t>
      </w:r>
      <w:r w:rsidRPr="00DB6001">
        <w:rPr>
          <w:rFonts w:ascii="Garamond" w:hAnsi="Garamond"/>
        </w:rPr>
        <w:t xml:space="preserve"> 351 (N.D. Ill. 1980) held that a state university's refusal to release student-debtor's transcript until he paid prepetition debt in full violated section 525(a) as well.</w:t>
      </w:r>
    </w:p>
    <w:p w:rsidR="00B86D2D" w:rsidRPr="00DB6001" w:rsidRDefault="00B86D2D" w:rsidP="00DB6001">
      <w:pPr>
        <w:spacing w:line="480" w:lineRule="auto"/>
        <w:ind w:firstLine="720"/>
        <w:rPr>
          <w:rFonts w:ascii="Garamond" w:hAnsi="Garamond"/>
        </w:rPr>
      </w:pPr>
      <w:r w:rsidRPr="00DB6001">
        <w:rPr>
          <w:rFonts w:ascii="Garamond" w:hAnsi="Garamond"/>
        </w:rPr>
        <w:t xml:space="preserve">And in </w:t>
      </w:r>
      <w:r w:rsidR="00680DE9" w:rsidRPr="00DB6001">
        <w:rPr>
          <w:rFonts w:ascii="Garamond" w:hAnsi="Garamond"/>
          <w:i/>
        </w:rPr>
        <w:t>Stoltz v. Brattleboro Housing Authority (In re Stoltz),</w:t>
      </w:r>
      <w:r w:rsidR="00680DE9" w:rsidRPr="00DB6001">
        <w:rPr>
          <w:rFonts w:ascii="Garamond" w:hAnsi="Garamond"/>
        </w:rPr>
        <w:t xml:space="preserve">310 F.3d 80 (2d Cir. 2002), </w:t>
      </w:r>
      <w:r w:rsidR="00680DE9" w:rsidRPr="00DB6001">
        <w:rPr>
          <w:rFonts w:ascii="Garamond" w:hAnsi="Garamond"/>
          <w:i/>
        </w:rPr>
        <w:t xml:space="preserve"> </w:t>
      </w:r>
      <w:r w:rsidR="00680DE9" w:rsidRPr="00DB6001">
        <w:rPr>
          <w:rFonts w:ascii="Garamond" w:hAnsi="Garamond"/>
        </w:rPr>
        <w:t>the Second Circuit held that a person’s continued right to rent public housing constituted a governmental license which could not be denied by reason of section 525(a).</w:t>
      </w:r>
    </w:p>
    <w:p w:rsidR="00126C33" w:rsidRPr="00DB6001" w:rsidRDefault="00126C33" w:rsidP="00DB6001">
      <w:pPr>
        <w:spacing w:line="480" w:lineRule="auto"/>
        <w:rPr>
          <w:rFonts w:ascii="Garamond" w:hAnsi="Garamond"/>
        </w:rPr>
      </w:pPr>
    </w:p>
    <w:p w:rsidR="00126C33" w:rsidRPr="00DB6001" w:rsidRDefault="00126C33" w:rsidP="00DB6001">
      <w:pPr>
        <w:spacing w:line="480" w:lineRule="auto"/>
        <w:rPr>
          <w:rFonts w:ascii="Garamond" w:hAnsi="Garamond"/>
          <w:b/>
          <w:i/>
        </w:rPr>
      </w:pPr>
      <w:r w:rsidRPr="00DB6001">
        <w:rPr>
          <w:rFonts w:ascii="Garamond" w:hAnsi="Garamond"/>
          <w:b/>
          <w:i/>
        </w:rPr>
        <w:lastRenderedPageBreak/>
        <w:t>Employment Issues</w:t>
      </w:r>
    </w:p>
    <w:p w:rsidR="0046298A" w:rsidRPr="00DB6001" w:rsidRDefault="00731278" w:rsidP="002F3816">
      <w:pPr>
        <w:spacing w:line="480" w:lineRule="auto"/>
        <w:ind w:firstLine="720"/>
        <w:rPr>
          <w:rFonts w:ascii="Garamond" w:hAnsi="Garamond"/>
        </w:rPr>
      </w:pPr>
      <w:r>
        <w:rPr>
          <w:rFonts w:ascii="Garamond" w:hAnsi="Garamond"/>
        </w:rPr>
        <w:t xml:space="preserve">Both  sections </w:t>
      </w:r>
      <w:r w:rsidR="0046298A" w:rsidRPr="00DB6001">
        <w:rPr>
          <w:rFonts w:ascii="Garamond" w:hAnsi="Garamond"/>
        </w:rPr>
        <w:t xml:space="preserve">525(a) and 525(b) apply to cases involving employment discrimination based discharging a debt in bankruptcy. In order to fully understand the antidiscrimination clause of the Bankruptcy Code, it must be compared to other employment retaliation claims. </w:t>
      </w:r>
    </w:p>
    <w:p w:rsidR="0046298A" w:rsidRPr="00DB6001" w:rsidRDefault="0046298A" w:rsidP="00DB6001">
      <w:pPr>
        <w:spacing w:line="480" w:lineRule="auto"/>
        <w:rPr>
          <w:rFonts w:ascii="Garamond" w:hAnsi="Garamond"/>
        </w:rPr>
      </w:pPr>
      <w:r w:rsidRPr="00DB6001">
        <w:rPr>
          <w:rFonts w:ascii="Garamond" w:hAnsi="Garamond"/>
        </w:rPr>
        <w:tab/>
        <w:t xml:space="preserve">A traditional retaliation claim exists to encourage employees to engage in protected activities, such as voting or reporting employer misconduct. The retaliation claim reassures employees that there is recourse if an employer subjects an employee to an adverse employment action because the employee engaged in a protected activity. </w:t>
      </w:r>
    </w:p>
    <w:p w:rsidR="0046298A" w:rsidRPr="00DB6001" w:rsidRDefault="0046298A" w:rsidP="00DB6001">
      <w:pPr>
        <w:spacing w:line="480" w:lineRule="auto"/>
        <w:rPr>
          <w:rFonts w:ascii="Garamond" w:hAnsi="Garamond"/>
        </w:rPr>
      </w:pPr>
      <w:r w:rsidRPr="00DB6001">
        <w:rPr>
          <w:rFonts w:ascii="Garamond" w:hAnsi="Garamond"/>
        </w:rPr>
        <w:tab/>
        <w:t xml:space="preserve">The antidiscrimination clause is not intended to encourage an employee to file bankruptcy, but to protect those who have attempted to obtain a fresh start through bankruptcy proceedings. </w:t>
      </w:r>
      <w:r w:rsidRPr="00DB6001">
        <w:rPr>
          <w:rFonts w:ascii="Garamond" w:hAnsi="Garamond"/>
          <w:i/>
          <w:iCs/>
        </w:rPr>
        <w:t xml:space="preserve">Majewski v. St. Rose Dominican Hospital, </w:t>
      </w:r>
      <w:r w:rsidRPr="00DB6001">
        <w:rPr>
          <w:rFonts w:ascii="Garamond" w:hAnsi="Garamond"/>
        </w:rPr>
        <w:t>310 F. 3d 653 (9</w:t>
      </w:r>
      <w:r w:rsidRPr="00DB6001">
        <w:rPr>
          <w:rFonts w:ascii="Garamond" w:hAnsi="Garamond"/>
          <w:vertAlign w:val="superscript"/>
        </w:rPr>
        <w:t>th</w:t>
      </w:r>
      <w:r w:rsidR="00EC759C">
        <w:rPr>
          <w:rFonts w:ascii="Garamond" w:hAnsi="Garamond"/>
        </w:rPr>
        <w:t xml:space="preserve"> Cir. 2002). At first glance, a </w:t>
      </w:r>
      <w:r w:rsidR="00731278">
        <w:rPr>
          <w:rFonts w:ascii="Garamond" w:hAnsi="Garamond"/>
        </w:rPr>
        <w:t xml:space="preserve">claim under section </w:t>
      </w:r>
      <w:r w:rsidRPr="00DB6001">
        <w:rPr>
          <w:rFonts w:ascii="Garamond" w:hAnsi="Garamond"/>
        </w:rPr>
        <w:t>525 appears to operate as other retaliation claims. However, analyzing the policy behind these claims creates a foundation for t</w:t>
      </w:r>
      <w:r w:rsidR="00731278">
        <w:rPr>
          <w:rFonts w:ascii="Garamond" w:hAnsi="Garamond"/>
        </w:rPr>
        <w:t xml:space="preserve">he stringent requirements of section </w:t>
      </w:r>
      <w:r w:rsidRPr="00DB6001">
        <w:rPr>
          <w:rFonts w:ascii="Garamond" w:hAnsi="Garamond"/>
        </w:rPr>
        <w:t xml:space="preserve">525. </w:t>
      </w:r>
    </w:p>
    <w:p w:rsidR="0046298A" w:rsidRPr="00DB6001" w:rsidRDefault="0046298A" w:rsidP="00DB6001">
      <w:pPr>
        <w:spacing w:line="480" w:lineRule="auto"/>
        <w:rPr>
          <w:rFonts w:ascii="Garamond" w:hAnsi="Garamond"/>
        </w:rPr>
      </w:pPr>
      <w:r w:rsidRPr="00DB6001">
        <w:rPr>
          <w:rFonts w:ascii="Garamond" w:hAnsi="Garamond"/>
        </w:rPr>
        <w:tab/>
        <w:t>Section 525(a) only applies to government units. Debtors employed in the private sect</w:t>
      </w:r>
      <w:r w:rsidR="00731278">
        <w:rPr>
          <w:rFonts w:ascii="Garamond" w:hAnsi="Garamond"/>
        </w:rPr>
        <w:t xml:space="preserve">or are limited to claims under section </w:t>
      </w:r>
      <w:r w:rsidRPr="00DB6001">
        <w:rPr>
          <w:rFonts w:ascii="Garamond" w:hAnsi="Garamond"/>
        </w:rPr>
        <w:t>525(b). Section 525(a) prevents a governmental unit from denying employment to, terminating the employment of, or discriminating with respect to employment against a person that has been a debtor under this title solely b</w:t>
      </w:r>
      <w:r w:rsidR="00EC759C">
        <w:rPr>
          <w:rFonts w:ascii="Garamond" w:hAnsi="Garamond"/>
        </w:rPr>
        <w:t xml:space="preserve">ecause of filing a bankruptcy. </w:t>
      </w:r>
    </w:p>
    <w:p w:rsidR="0046298A" w:rsidRPr="00DB6001" w:rsidRDefault="0046298A" w:rsidP="00DB6001">
      <w:pPr>
        <w:spacing w:line="480" w:lineRule="auto"/>
        <w:rPr>
          <w:rFonts w:ascii="Garamond" w:hAnsi="Garamond"/>
        </w:rPr>
      </w:pPr>
      <w:r w:rsidRPr="00DB6001">
        <w:rPr>
          <w:rFonts w:ascii="Garamond" w:hAnsi="Garamond"/>
        </w:rPr>
        <w:tab/>
        <w:t xml:space="preserve">Section 525(b) prevents a private employer from terminating the employment of an individual or discriminating with respect to employment of an individual solely because of filing a bankruptcy. </w:t>
      </w:r>
    </w:p>
    <w:p w:rsidR="0046298A" w:rsidRPr="002F3816" w:rsidRDefault="0046298A" w:rsidP="00DB6001">
      <w:pPr>
        <w:spacing w:line="480" w:lineRule="auto"/>
        <w:rPr>
          <w:rFonts w:ascii="Garamond" w:hAnsi="Garamond" w:cs="TimesNewRoman,Italic"/>
          <w:i/>
          <w:iCs/>
        </w:rPr>
      </w:pPr>
      <w:r w:rsidRPr="00DB6001">
        <w:rPr>
          <w:rFonts w:ascii="Garamond" w:hAnsi="Garamond"/>
        </w:rPr>
        <w:tab/>
        <w:t xml:space="preserve">The majority of jurisdictions hold that these provisions only protect individuals who have </w:t>
      </w:r>
      <w:r w:rsidR="00126C33" w:rsidRPr="00DB6001">
        <w:rPr>
          <w:rFonts w:ascii="Garamond" w:hAnsi="Garamond"/>
        </w:rPr>
        <w:t xml:space="preserve">actually </w:t>
      </w:r>
      <w:r w:rsidRPr="00DB6001">
        <w:rPr>
          <w:rFonts w:ascii="Garamond" w:hAnsi="Garamond"/>
        </w:rPr>
        <w:t xml:space="preserve">filed a case. Individuals expressing a desire to file a bankruptcy case in the </w:t>
      </w:r>
      <w:r w:rsidRPr="00DB6001">
        <w:rPr>
          <w:rFonts w:ascii="Garamond" w:hAnsi="Garamond"/>
        </w:rPr>
        <w:lastRenderedPageBreak/>
        <w:t xml:space="preserve">future are not protected by the majority of jurisdictions. </w:t>
      </w:r>
      <w:r w:rsidRPr="00DB6001">
        <w:rPr>
          <w:rFonts w:ascii="Garamond" w:hAnsi="Garamond"/>
          <w:i/>
          <w:iCs/>
        </w:rPr>
        <w:t xml:space="preserve">Kanouse v. Gunster, Yoakley &amp; Stewart, </w:t>
      </w:r>
      <w:r w:rsidRPr="00DB6001">
        <w:rPr>
          <w:rFonts w:ascii="Garamond" w:hAnsi="Garamond"/>
        </w:rPr>
        <w:t>168 B.R. 441 (</w:t>
      </w:r>
      <w:r w:rsidR="00EC759C">
        <w:rPr>
          <w:rFonts w:ascii="Garamond" w:hAnsi="Garamond"/>
        </w:rPr>
        <w:t xml:space="preserve">Bankr. </w:t>
      </w:r>
      <w:r w:rsidRPr="00DB6001">
        <w:rPr>
          <w:rFonts w:ascii="Garamond" w:hAnsi="Garamond"/>
        </w:rPr>
        <w:t xml:space="preserve">S.D. Fl 1994). </w:t>
      </w:r>
      <w:r w:rsidR="00126C33" w:rsidRPr="00DB6001">
        <w:rPr>
          <w:rFonts w:ascii="Garamond" w:hAnsi="Garamond"/>
        </w:rPr>
        <w:t xml:space="preserve"> </w:t>
      </w:r>
      <w:r w:rsidR="00126C33" w:rsidRPr="00DB6001">
        <w:rPr>
          <w:rFonts w:ascii="Garamond" w:hAnsi="Garamond"/>
          <w:i/>
        </w:rPr>
        <w:t>Tinker v. Sturgeon State Bank (In re Tinker)</w:t>
      </w:r>
      <w:r w:rsidR="00126C33" w:rsidRPr="00DB6001">
        <w:rPr>
          <w:rFonts w:ascii="Garamond" w:hAnsi="Garamond"/>
        </w:rPr>
        <w:t>, 99 B.R. 957 (Bankr. W.D. Mo. 1989),</w:t>
      </w:r>
      <w:r w:rsidR="00126C33" w:rsidRPr="00DB6001">
        <w:rPr>
          <w:rFonts w:ascii="Garamond" w:hAnsi="Garamond" w:cs="TimesNewRoman,Italic"/>
          <w:i/>
          <w:iCs/>
        </w:rPr>
        <w:t xml:space="preserve"> </w:t>
      </w:r>
      <w:r w:rsidR="00126C33" w:rsidRPr="00DB6001">
        <w:rPr>
          <w:rFonts w:ascii="Garamond" w:hAnsi="Garamond" w:cs="TimesNewRoman,Italic"/>
          <w:iCs/>
        </w:rPr>
        <w:t xml:space="preserve">is to the contrary but has not been widely followed.  </w:t>
      </w:r>
    </w:p>
    <w:p w:rsidR="00126C33" w:rsidRPr="00DB6001" w:rsidRDefault="0046298A" w:rsidP="00DB6001">
      <w:pPr>
        <w:spacing w:line="480" w:lineRule="auto"/>
        <w:rPr>
          <w:rFonts w:ascii="Garamond" w:hAnsi="Garamond"/>
        </w:rPr>
      </w:pPr>
      <w:r w:rsidRPr="00DB6001">
        <w:rPr>
          <w:rFonts w:ascii="Garamond" w:hAnsi="Garamond"/>
          <w:i/>
          <w:iCs/>
        </w:rPr>
        <w:tab/>
      </w:r>
      <w:r w:rsidRPr="00DB6001">
        <w:rPr>
          <w:rFonts w:ascii="Garamond" w:hAnsi="Garamond"/>
        </w:rPr>
        <w:t xml:space="preserve">There is also a split </w:t>
      </w:r>
      <w:r w:rsidR="00731278">
        <w:rPr>
          <w:rFonts w:ascii="Garamond" w:hAnsi="Garamond"/>
        </w:rPr>
        <w:t xml:space="preserve">in authority regarding whether section </w:t>
      </w:r>
      <w:r w:rsidRPr="00DB6001">
        <w:rPr>
          <w:rFonts w:ascii="Garamond" w:hAnsi="Garamond"/>
        </w:rPr>
        <w:t>525(b) applies to failure to hire claims.</w:t>
      </w:r>
      <w:r w:rsidR="00731278">
        <w:rPr>
          <w:rFonts w:ascii="Garamond" w:hAnsi="Garamond"/>
        </w:rPr>
        <w:t xml:space="preserve"> Courts consistently hold that section </w:t>
      </w:r>
      <w:r w:rsidRPr="00DB6001">
        <w:rPr>
          <w:rFonts w:ascii="Garamond" w:hAnsi="Garamond"/>
        </w:rPr>
        <w:t>525(a) prohibits a governmental unit from refusing to hire an individual solely because debts have been discharged in bankruptcy. A private sector employee utilizing §525(b) cannot be discharged or subjected to discriminatory practice with respect to employment. But the pr</w:t>
      </w:r>
      <w:r w:rsidR="00731278">
        <w:rPr>
          <w:rFonts w:ascii="Garamond" w:hAnsi="Garamond"/>
        </w:rPr>
        <w:t xml:space="preserve">ovision included in  section </w:t>
      </w:r>
      <w:r w:rsidRPr="00DB6001">
        <w:rPr>
          <w:rFonts w:ascii="Garamond" w:hAnsi="Garamond"/>
        </w:rPr>
        <w:t xml:space="preserve">525(a) prohibiting denying employment </w:t>
      </w:r>
      <w:r w:rsidR="00731278">
        <w:rPr>
          <w:rFonts w:ascii="Garamond" w:hAnsi="Garamond"/>
        </w:rPr>
        <w:t xml:space="preserve">to a debtor is not included in section </w:t>
      </w:r>
      <w:r w:rsidRPr="00DB6001">
        <w:rPr>
          <w:rFonts w:ascii="Garamond" w:hAnsi="Garamond"/>
        </w:rPr>
        <w:t xml:space="preserve">525(b). </w:t>
      </w:r>
      <w:r w:rsidRPr="00DB6001">
        <w:rPr>
          <w:rFonts w:ascii="Garamond" w:hAnsi="Garamond"/>
          <w:i/>
          <w:iCs/>
        </w:rPr>
        <w:t xml:space="preserve">In re Madison </w:t>
      </w:r>
      <w:r w:rsidR="00126C33" w:rsidRPr="00DB6001">
        <w:rPr>
          <w:rFonts w:ascii="Garamond" w:hAnsi="Garamond"/>
          <w:i/>
          <w:iCs/>
        </w:rPr>
        <w:t>(</w:t>
      </w:r>
      <w:r w:rsidRPr="00DB6001">
        <w:rPr>
          <w:rFonts w:ascii="Garamond" w:hAnsi="Garamond"/>
          <w:i/>
          <w:iCs/>
        </w:rPr>
        <w:t>Madison International of Illinois</w:t>
      </w:r>
      <w:r w:rsidR="00126C33" w:rsidRPr="00DB6001">
        <w:rPr>
          <w:rFonts w:ascii="Garamond" w:hAnsi="Garamond"/>
          <w:i/>
          <w:iCs/>
        </w:rPr>
        <w:t>)</w:t>
      </w:r>
      <w:r w:rsidRPr="00DB6001">
        <w:rPr>
          <w:rFonts w:ascii="Garamond" w:hAnsi="Garamond"/>
          <w:i/>
          <w:iCs/>
        </w:rPr>
        <w:t xml:space="preserve">, </w:t>
      </w:r>
      <w:r w:rsidRPr="00DB6001">
        <w:rPr>
          <w:rFonts w:ascii="Garamond" w:hAnsi="Garamond"/>
        </w:rPr>
        <w:t>77 B.R. 678 (</w:t>
      </w:r>
      <w:r w:rsidR="00126C33" w:rsidRPr="00DB6001">
        <w:rPr>
          <w:rFonts w:ascii="Garamond" w:hAnsi="Garamond"/>
        </w:rPr>
        <w:t xml:space="preserve">Bankr. </w:t>
      </w:r>
      <w:r w:rsidR="00291779">
        <w:rPr>
          <w:rFonts w:ascii="Garamond" w:hAnsi="Garamond"/>
        </w:rPr>
        <w:t>E.D. WI</w:t>
      </w:r>
      <w:r w:rsidRPr="00DB6001">
        <w:rPr>
          <w:rFonts w:ascii="Garamond" w:hAnsi="Garamond"/>
        </w:rPr>
        <w:t xml:space="preserve"> 1987). </w:t>
      </w:r>
      <w:r w:rsidR="00680DE9" w:rsidRPr="00DB6001">
        <w:rPr>
          <w:rFonts w:ascii="Garamond" w:hAnsi="Garamond"/>
        </w:rPr>
        <w:t xml:space="preserve">  See also </w:t>
      </w:r>
      <w:hyperlink r:id="rId7" w:history="1">
        <w:r w:rsidR="00680DE9" w:rsidRPr="00DB6001">
          <w:rPr>
            <w:rFonts w:ascii="Garamond" w:hAnsi="Garamond"/>
            <w:i/>
          </w:rPr>
          <w:t>Pastore v. Medford Sav. Bank,</w:t>
        </w:r>
      </w:hyperlink>
      <w:hyperlink r:id="rId8" w:history="1">
        <w:r w:rsidR="00680DE9" w:rsidRPr="00DB6001">
          <w:rPr>
            <w:rFonts w:ascii="Garamond" w:hAnsi="Garamond"/>
          </w:rPr>
          <w:t> 186 B.R. 553 (D.Mass.1995)</w:t>
        </w:r>
      </w:hyperlink>
      <w:r w:rsidR="00731278">
        <w:rPr>
          <w:rFonts w:ascii="Garamond" w:hAnsi="Garamond"/>
        </w:rPr>
        <w:t xml:space="preserve">(holding that section </w:t>
      </w:r>
      <w:r w:rsidR="00680DE9" w:rsidRPr="00DB6001">
        <w:rPr>
          <w:rFonts w:ascii="Garamond" w:hAnsi="Garamond"/>
        </w:rPr>
        <w:t>525(b) does not provide a cause of action of failure to hire); </w:t>
      </w:r>
      <w:r w:rsidR="00680DE9" w:rsidRPr="00DB6001">
        <w:rPr>
          <w:rFonts w:ascii="Garamond" w:hAnsi="Garamond"/>
          <w:i/>
        </w:rPr>
        <w:t>In re Hardy,</w:t>
      </w:r>
      <w:r w:rsidR="00680DE9" w:rsidRPr="00DB6001">
        <w:rPr>
          <w:rFonts w:ascii="Garamond" w:hAnsi="Garamond"/>
        </w:rPr>
        <w:t> 209 B.R. 371 (Bankr.E.D.Va.1997) (requiring an employment relationship as a prerequisite for the</w:t>
      </w:r>
      <w:r w:rsidR="00731278">
        <w:rPr>
          <w:rFonts w:ascii="Garamond" w:hAnsi="Garamond"/>
        </w:rPr>
        <w:t xml:space="preserve"> applicability of section </w:t>
      </w:r>
      <w:r w:rsidR="00680DE9" w:rsidRPr="00DB6001">
        <w:rPr>
          <w:rFonts w:ascii="Garamond" w:hAnsi="Garamond"/>
        </w:rPr>
        <w:t>525(b)); </w:t>
      </w:r>
      <w:r w:rsidR="00680DE9" w:rsidRPr="00DB6001">
        <w:rPr>
          <w:rFonts w:ascii="Garamond" w:hAnsi="Garamond"/>
          <w:i/>
        </w:rPr>
        <w:t>In re Hopkins</w:t>
      </w:r>
      <w:r w:rsidR="00680DE9" w:rsidRPr="00DB6001">
        <w:rPr>
          <w:rFonts w:ascii="Garamond" w:hAnsi="Garamond"/>
        </w:rPr>
        <w:t>, </w:t>
      </w:r>
      <w:r w:rsidR="00EC759C">
        <w:rPr>
          <w:rFonts w:ascii="Garamond" w:hAnsi="Garamond"/>
        </w:rPr>
        <w:t xml:space="preserve">81 B.R. 49 </w:t>
      </w:r>
      <w:r w:rsidR="00680DE9" w:rsidRPr="00DB6001">
        <w:rPr>
          <w:rFonts w:ascii="Garamond" w:hAnsi="Garamond"/>
        </w:rPr>
        <w:t>(Bankr.W.D.Ark.1987) </w:t>
      </w:r>
      <w:r w:rsidR="00731278">
        <w:rPr>
          <w:rFonts w:ascii="Garamond" w:hAnsi="Garamond"/>
        </w:rPr>
        <w:t xml:space="preserve">(holding section </w:t>
      </w:r>
      <w:r w:rsidR="00680DE9" w:rsidRPr="00DB6001">
        <w:rPr>
          <w:rFonts w:ascii="Garamond" w:hAnsi="Garamond"/>
        </w:rPr>
        <w:t>525(b) reaches private employers only after an offer of full-time employment has been extended);</w:t>
      </w:r>
    </w:p>
    <w:p w:rsidR="0046298A" w:rsidRPr="00DB6001" w:rsidRDefault="00680DE9" w:rsidP="002F3816">
      <w:pPr>
        <w:spacing w:line="480" w:lineRule="auto"/>
        <w:ind w:firstLine="720"/>
        <w:rPr>
          <w:rFonts w:ascii="Garamond" w:hAnsi="Garamond"/>
        </w:rPr>
      </w:pPr>
      <w:r w:rsidRPr="00DB6001">
        <w:rPr>
          <w:rFonts w:ascii="Garamond" w:hAnsi="Garamond"/>
        </w:rPr>
        <w:t>This rather narrow construction of a remedial statute has been reached by drawing a negative inferenc</w:t>
      </w:r>
      <w:r w:rsidR="00731278">
        <w:rPr>
          <w:rFonts w:ascii="Garamond" w:hAnsi="Garamond"/>
        </w:rPr>
        <w:t xml:space="preserve">e comparing this statute with section </w:t>
      </w:r>
      <w:r w:rsidRPr="00DB6001">
        <w:rPr>
          <w:rFonts w:ascii="Garamond" w:hAnsi="Garamond"/>
        </w:rPr>
        <w:t>525(a). Section 525(a) states that the government may not "deny employment to, terminate the employment of or discriminate with respect to employment against" a person who has been a bankruptcy debtor. Section 525(b), while similar in language, does not contain the phrase "deny employment to." One cannot infer from this omission not only that it was purposeful to achieve a disparate result where the Govern</w:t>
      </w:r>
      <w:r w:rsidR="00731278">
        <w:rPr>
          <w:rFonts w:ascii="Garamond" w:hAnsi="Garamond"/>
        </w:rPr>
        <w:t xml:space="preserve">ment is the employer, but that section </w:t>
      </w:r>
      <w:r w:rsidRPr="00DB6001">
        <w:rPr>
          <w:rFonts w:ascii="Garamond" w:hAnsi="Garamond"/>
        </w:rPr>
        <w:t xml:space="preserve">525(b) accordingly allows employers to discriminate on the initial hiring against those unfortunate economic casualties </w:t>
      </w:r>
      <w:r w:rsidRPr="00DB6001">
        <w:rPr>
          <w:rFonts w:ascii="Garamond" w:hAnsi="Garamond"/>
        </w:rPr>
        <w:lastRenderedPageBreak/>
        <w:t>who are seeking or have obtained a fresh start from the bankruptcy court, and yet at the same time prohibits discrimination against those who have been hired.</w:t>
      </w:r>
    </w:p>
    <w:p w:rsidR="00B24BA0" w:rsidRPr="00DB6001" w:rsidRDefault="00680DE9" w:rsidP="00EC759C">
      <w:pPr>
        <w:spacing w:line="480" w:lineRule="auto"/>
        <w:ind w:firstLine="720"/>
        <w:rPr>
          <w:rFonts w:ascii="Garamond" w:hAnsi="Garamond" w:cs="Arial"/>
          <w:color w:val="3F3F3F"/>
        </w:rPr>
      </w:pPr>
      <w:r w:rsidRPr="00DB6001">
        <w:rPr>
          <w:rFonts w:ascii="Garamond" w:hAnsi="Garamond" w:cs="Arial"/>
          <w:color w:val="3F3F3F"/>
        </w:rPr>
        <w:t xml:space="preserve">If the phrase "with respect to employment" covers hiring </w:t>
      </w:r>
      <w:r w:rsidR="00731278">
        <w:rPr>
          <w:rFonts w:ascii="Garamond" w:hAnsi="Garamond" w:cs="Arial"/>
          <w:color w:val="3F3F3F"/>
        </w:rPr>
        <w:t xml:space="preserve">decisions, then provisions in sections </w:t>
      </w:r>
      <w:r w:rsidRPr="00DB6001">
        <w:rPr>
          <w:rFonts w:ascii="Garamond" w:hAnsi="Garamond" w:cs="Arial"/>
          <w:color w:val="3F3F3F"/>
        </w:rPr>
        <w:t>525(a) and (b) become an exercise in redundancy.</w:t>
      </w:r>
      <w:r w:rsidRPr="00DB6001">
        <w:rPr>
          <w:rStyle w:val="apple-converted-space"/>
          <w:rFonts w:ascii="Garamond" w:hAnsi="Garamond" w:cs="Arial"/>
          <w:color w:val="3F3F3F"/>
        </w:rPr>
        <w:t> </w:t>
      </w:r>
      <w:r w:rsidRPr="00DB6001">
        <w:rPr>
          <w:rFonts w:ascii="Garamond" w:hAnsi="Garamond" w:cs="Arial"/>
          <w:i/>
          <w:iCs/>
          <w:color w:val="3F3F3F"/>
        </w:rPr>
        <w:t>See Casey,</w:t>
      </w:r>
      <w:r w:rsidRPr="00DB6001">
        <w:rPr>
          <w:rStyle w:val="apple-converted-space"/>
          <w:rFonts w:ascii="Garamond" w:hAnsi="Garamond" w:cs="Arial"/>
          <w:color w:val="3F3F3F"/>
        </w:rPr>
        <w:t> </w:t>
      </w:r>
      <w:r w:rsidR="00291779">
        <w:rPr>
          <w:rFonts w:ascii="Garamond" w:hAnsi="Garamond" w:cs="Arial"/>
          <w:color w:val="3F3F3F"/>
        </w:rPr>
        <w:t xml:space="preserve">499 U.S. at 101.  </w:t>
      </w:r>
      <w:r w:rsidRPr="00DB6001">
        <w:rPr>
          <w:rFonts w:ascii="Garamond" w:hAnsi="Garamond" w:cs="Arial"/>
          <w:color w:val="3F3F3F"/>
        </w:rPr>
        <w:t xml:space="preserve">Most courts will not ascribe a substantive meaning to the </w:t>
      </w:r>
      <w:r w:rsidR="00731278">
        <w:rPr>
          <w:rFonts w:ascii="Garamond" w:hAnsi="Garamond" w:cs="Arial"/>
          <w:color w:val="3F3F3F"/>
        </w:rPr>
        <w:t xml:space="preserve">terms "deny employment to" in section </w:t>
      </w:r>
      <w:r w:rsidRPr="00DB6001">
        <w:rPr>
          <w:rFonts w:ascii="Garamond" w:hAnsi="Garamond" w:cs="Arial"/>
          <w:color w:val="3F3F3F"/>
        </w:rPr>
        <w:t>525(a) if "discriminate with respect to employment" is read to encompasses discriminatory hiring. The explicit inclusion of the phrase "d</w:t>
      </w:r>
      <w:r w:rsidR="00731278">
        <w:rPr>
          <w:rFonts w:ascii="Garamond" w:hAnsi="Garamond" w:cs="Arial"/>
          <w:color w:val="3F3F3F"/>
        </w:rPr>
        <w:t xml:space="preserve">eny employment to" in section </w:t>
      </w:r>
      <w:r w:rsidRPr="00DB6001">
        <w:rPr>
          <w:rFonts w:ascii="Garamond" w:hAnsi="Garamond" w:cs="Arial"/>
          <w:color w:val="3F3F3F"/>
        </w:rPr>
        <w:t>525(a), preceding the phrase "discriminate with respect to employment," leads most courts to concluded that Congress believed the phrases offered different protections to a Title 11 debtor. To interpret "discriminate with respect to employment" in § 525(b) to mean that a private employer may not deny employment to a Title 11 debtor would create render subsection (a) superfluous.</w:t>
      </w:r>
    </w:p>
    <w:p w:rsidR="00B24BA0" w:rsidRPr="00EC759C" w:rsidRDefault="00B24BA0" w:rsidP="00EC759C">
      <w:pPr>
        <w:spacing w:line="480" w:lineRule="auto"/>
        <w:ind w:firstLine="720"/>
        <w:rPr>
          <w:rFonts w:ascii="Garamond" w:hAnsi="Garamond" w:cs="Arial"/>
          <w:color w:val="3F3F3F"/>
        </w:rPr>
      </w:pPr>
      <w:r w:rsidRPr="00DB6001">
        <w:rPr>
          <w:rFonts w:ascii="Garamond" w:hAnsi="Garamond" w:cs="Arial"/>
          <w:color w:val="3F3F3F"/>
        </w:rPr>
        <w:t xml:space="preserve">From an historical perspective, it is interesting to note </w:t>
      </w:r>
      <w:r w:rsidRPr="00DB6001">
        <w:rPr>
          <w:rFonts w:ascii="Garamond" w:hAnsi="Garamond" w:cs="Arial"/>
          <w:i/>
          <w:color w:val="3F3F3F"/>
        </w:rPr>
        <w:t xml:space="preserve">Wilson v. Harris Trust &amp; Savings Bank, </w:t>
      </w:r>
      <w:r w:rsidRPr="00DB6001">
        <w:rPr>
          <w:rFonts w:ascii="Garamond" w:hAnsi="Garamond" w:cs="Arial"/>
          <w:color w:val="3F3F3F"/>
        </w:rPr>
        <w:t>777 F2d 1246 (7</w:t>
      </w:r>
      <w:r w:rsidRPr="00DB6001">
        <w:rPr>
          <w:rFonts w:ascii="Garamond" w:hAnsi="Garamond" w:cs="Arial"/>
          <w:color w:val="3F3F3F"/>
          <w:vertAlign w:val="superscript"/>
        </w:rPr>
        <w:t>th</w:t>
      </w:r>
      <w:r w:rsidRPr="00DB6001">
        <w:rPr>
          <w:rFonts w:ascii="Garamond" w:hAnsi="Garamond" w:cs="Arial"/>
          <w:color w:val="3F3F3F"/>
        </w:rPr>
        <w:t xml:space="preserve"> Cir. 1985).  There, the court held that Bankruptcy Code section 525(a) was not applicable to private entitles</w:t>
      </w:r>
      <w:r w:rsidR="00731278">
        <w:rPr>
          <w:rFonts w:ascii="Garamond" w:hAnsi="Garamond" w:cs="Arial"/>
          <w:color w:val="3F3F3F"/>
        </w:rPr>
        <w:t xml:space="preserve">, noting that section </w:t>
      </w:r>
      <w:r w:rsidRPr="00DB6001">
        <w:rPr>
          <w:rFonts w:ascii="Garamond" w:hAnsi="Garamond" w:cs="Arial"/>
          <w:color w:val="3F3F3F"/>
        </w:rPr>
        <w:t>525(b) had just been enacted and that subsection (b) would not be required if it private discrimination were already prohibited by subsection a.  The Seventh Circuit stated “Congress amended sec. 525 in 1984 to provide that the prohibitions in subsection (a) now apply to private, as well as public, employers.  See 11 USC sec. 525(b).  One wonders whether the Seventh Circuit would read subsection 525(a) and (b) as containing the same prohibitions in light of subsequent judicial decisions interpreting the respective subsections.</w:t>
      </w:r>
    </w:p>
    <w:p w:rsidR="00B24BA0" w:rsidRPr="00DB6001" w:rsidRDefault="00B24BA0" w:rsidP="00DB6001">
      <w:pPr>
        <w:spacing w:line="480" w:lineRule="auto"/>
        <w:rPr>
          <w:rFonts w:ascii="Garamond" w:hAnsi="Garamond" w:cs="Arial"/>
          <w:b/>
          <w:i/>
          <w:color w:val="3F3F3F"/>
        </w:rPr>
      </w:pPr>
      <w:r w:rsidRPr="00DB6001">
        <w:rPr>
          <w:rFonts w:ascii="Garamond" w:hAnsi="Garamond" w:cs="Arial"/>
          <w:b/>
          <w:i/>
          <w:color w:val="3F3F3F"/>
        </w:rPr>
        <w:t>Conclusion</w:t>
      </w:r>
    </w:p>
    <w:p w:rsidR="00B24BA0" w:rsidRPr="00DB6001" w:rsidRDefault="00B24BA0" w:rsidP="00DB6001">
      <w:pPr>
        <w:spacing w:line="480" w:lineRule="auto"/>
        <w:rPr>
          <w:rFonts w:ascii="Garamond" w:hAnsi="Garamond" w:cs="Arial"/>
          <w:color w:val="3F3F3F"/>
        </w:rPr>
      </w:pPr>
      <w:r w:rsidRPr="00DB6001">
        <w:rPr>
          <w:rFonts w:ascii="Garamond" w:hAnsi="Garamond" w:cs="Arial"/>
          <w:b/>
          <w:color w:val="3F3F3F"/>
        </w:rPr>
        <w:tab/>
      </w:r>
      <w:r w:rsidRPr="00DB6001">
        <w:rPr>
          <w:rFonts w:ascii="Garamond" w:hAnsi="Garamond" w:cs="Arial"/>
          <w:color w:val="3F3F3F"/>
        </w:rPr>
        <w:t xml:space="preserve">Section 525(a) affords powerful limitations on the government’s rights to deny employment or licensing rights after a debtor has received a discharge in bankruptcy.  Such </w:t>
      </w:r>
      <w:r w:rsidRPr="00DB6001">
        <w:rPr>
          <w:rFonts w:ascii="Garamond" w:hAnsi="Garamond" w:cs="Arial"/>
          <w:color w:val="3F3F3F"/>
        </w:rPr>
        <w:lastRenderedPageBreak/>
        <w:t xml:space="preserve">limitations are an appropriate exercise of federal jurisdiction, both </w:t>
      </w:r>
      <w:r w:rsidRPr="00DB6001">
        <w:rPr>
          <w:rFonts w:ascii="Garamond" w:hAnsi="Garamond" w:cs="Arial"/>
          <w:i/>
          <w:color w:val="3F3F3F"/>
        </w:rPr>
        <w:t>in rem</w:t>
      </w:r>
      <w:r w:rsidRPr="00DB6001">
        <w:rPr>
          <w:rFonts w:ascii="Garamond" w:hAnsi="Garamond" w:cs="Arial"/>
          <w:color w:val="3F3F3F"/>
        </w:rPr>
        <w:t xml:space="preserve"> and ancillary to </w:t>
      </w:r>
      <w:r w:rsidRPr="00DB6001">
        <w:rPr>
          <w:rFonts w:ascii="Garamond" w:hAnsi="Garamond" w:cs="Arial"/>
          <w:i/>
          <w:color w:val="3F3F3F"/>
        </w:rPr>
        <w:t xml:space="preserve">in rem </w:t>
      </w:r>
      <w:r w:rsidRPr="00DB6001">
        <w:rPr>
          <w:rFonts w:ascii="Garamond" w:hAnsi="Garamond" w:cs="Arial"/>
          <w:color w:val="3F3F3F"/>
        </w:rPr>
        <w:t>jurisdiction, and not an abrogation of Sovereign Immunity, all in accordance with the Plan of the Convention.</w:t>
      </w:r>
    </w:p>
    <w:p w:rsidR="00F12ACF" w:rsidRPr="00DB6001" w:rsidRDefault="00B24BA0" w:rsidP="00DB6001">
      <w:pPr>
        <w:spacing w:line="480" w:lineRule="auto"/>
        <w:rPr>
          <w:rFonts w:ascii="Garamond" w:hAnsi="Garamond" w:cs="Arial"/>
          <w:color w:val="3F3F3F"/>
        </w:rPr>
      </w:pPr>
      <w:r w:rsidRPr="00DB6001">
        <w:rPr>
          <w:rFonts w:ascii="Garamond" w:hAnsi="Garamond" w:cs="Arial"/>
          <w:color w:val="3F3F3F"/>
        </w:rPr>
        <w:tab/>
      </w:r>
      <w:r w:rsidR="00F12ACF" w:rsidRPr="00DB6001">
        <w:rPr>
          <w:rFonts w:ascii="Garamond" w:hAnsi="Garamond" w:cs="Arial"/>
          <w:color w:val="3F3F3F"/>
        </w:rPr>
        <w:t>Moreover, Section 525(a) prohibits denial of employment by governmental bodies on account of an individual’s having received a discharge in bankruptcy.  Nevertheless, Section 525(b) of the bankruptcy code has a more limited impact in the private sector.  While an existing employee may not suffer discrimination on the job on account of a discharge in bankruptcy, a person may be denied employment by a prospective employer in the private sector solely on account of that person’s having been a debtor in bankruptcy.  One wonders whether further Congressional action is required.  Or perhaps BAPCPA was, in fact, perfect in every way and provided adequate consumer protection as written.</w:t>
      </w:r>
    </w:p>
    <w:p w:rsidR="00B24BA0" w:rsidRPr="00DB6001" w:rsidRDefault="00B24BA0" w:rsidP="00DB6001">
      <w:pPr>
        <w:spacing w:line="480" w:lineRule="auto"/>
        <w:rPr>
          <w:rFonts w:ascii="Garamond" w:hAnsi="Garamond" w:cs="Arial"/>
          <w:b/>
          <w:i/>
          <w:color w:val="3F3F3F"/>
        </w:rPr>
      </w:pPr>
    </w:p>
    <w:p w:rsidR="00B24BA0" w:rsidRPr="00DB6001" w:rsidRDefault="00B24BA0" w:rsidP="00DB6001">
      <w:pPr>
        <w:spacing w:line="480" w:lineRule="auto"/>
        <w:rPr>
          <w:rFonts w:ascii="Garamond" w:hAnsi="Garamond"/>
          <w:b/>
          <w:i/>
        </w:rPr>
      </w:pPr>
    </w:p>
    <w:p w:rsidR="005541F1" w:rsidRPr="00DB6001" w:rsidRDefault="005541F1" w:rsidP="00DB6001">
      <w:pPr>
        <w:pStyle w:val="NormalWeb"/>
        <w:spacing w:before="168" w:beforeAutospacing="0" w:after="168" w:afterAutospacing="0" w:line="480" w:lineRule="auto"/>
        <w:rPr>
          <w:rFonts w:ascii="Garamond" w:hAnsi="Garamond"/>
          <w:color w:val="494949"/>
        </w:rPr>
      </w:pPr>
    </w:p>
    <w:p w:rsidR="0046298A" w:rsidRPr="00DB6001" w:rsidRDefault="0046298A" w:rsidP="00DB6001">
      <w:pPr>
        <w:spacing w:line="480" w:lineRule="auto"/>
        <w:rPr>
          <w:rFonts w:ascii="Garamond" w:hAnsi="Garamond"/>
        </w:rPr>
      </w:pPr>
    </w:p>
    <w:sectPr w:rsidR="0046298A" w:rsidRPr="00DB6001">
      <w:footerReference w:type="default" r:id="rId9"/>
      <w:endnotePr>
        <w:numFmt w:val="decimal"/>
      </w:endnotePr>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DE9" w:rsidRDefault="00A65DE9" w:rsidP="00302273">
      <w:r>
        <w:separator/>
      </w:r>
    </w:p>
  </w:endnote>
  <w:endnote w:type="continuationSeparator" w:id="0">
    <w:p w:rsidR="00A65DE9" w:rsidRDefault="00A65DE9" w:rsidP="00302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Schoolbook">
    <w:panose1 w:val="00000000000000000000"/>
    <w:charset w:val="00"/>
    <w:family w:val="roman"/>
    <w:notTrueType/>
    <w:pitch w:val="default"/>
    <w:sig w:usb0="00000003" w:usb1="00000000" w:usb2="00000000" w:usb3="00000000" w:csb0="00000001" w:csb1="00000000"/>
  </w:font>
  <w:font w:name="CenturySchoolbook-Italic">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59C" w:rsidRDefault="00EC759C">
    <w:pPr>
      <w:pStyle w:val="Footer"/>
      <w:jc w:val="right"/>
    </w:pPr>
    <w:fldSimple w:instr=" PAGE   \* MERGEFORMAT ">
      <w:r w:rsidR="00731278">
        <w:rPr>
          <w:noProof/>
        </w:rPr>
        <w:t>8</w:t>
      </w:r>
    </w:fldSimple>
  </w:p>
  <w:p w:rsidR="00EC759C" w:rsidRDefault="00EC75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DE9" w:rsidRDefault="00A65DE9" w:rsidP="00302273">
      <w:r>
        <w:separator/>
      </w:r>
    </w:p>
  </w:footnote>
  <w:footnote w:type="continuationSeparator" w:id="0">
    <w:p w:rsidR="00A65DE9" w:rsidRDefault="00A65DE9" w:rsidP="00302273">
      <w:r>
        <w:continuationSeparator/>
      </w:r>
    </w:p>
  </w:footnote>
  <w:footnote w:id="1">
    <w:p w:rsidR="00302273" w:rsidRDefault="00302273">
      <w:pPr>
        <w:pStyle w:val="FootnoteText"/>
      </w:pPr>
      <w:r>
        <w:rPr>
          <w:rStyle w:val="FootnoteReference"/>
        </w:rPr>
        <w:footnoteRef/>
      </w:r>
      <w:r>
        <w:t xml:space="preserve"> </w:t>
      </w:r>
      <w:hyperlink r:id="rId1" w:history="1">
        <w:r w:rsidRPr="00337326">
          <w:rPr>
            <w:rStyle w:val="Hyperlink"/>
            <w:color w:val="auto"/>
          </w:rPr>
          <w:t>http://www.ilnb.uscourts.gov/opinions/JudgeGoldgar/Slayton.pdf</w:t>
        </w:r>
      </w:hyperlink>
    </w:p>
  </w:footnote>
  <w:footnote w:id="2">
    <w:p w:rsidR="00291779" w:rsidRPr="00291779" w:rsidRDefault="00291779" w:rsidP="00291779">
      <w:pPr>
        <w:rPr>
          <w:rFonts w:ascii="Garamond" w:hAnsi="Garamond"/>
          <w:color w:val="000000"/>
          <w:sz w:val="27"/>
          <w:szCs w:val="27"/>
        </w:rPr>
      </w:pPr>
      <w:r w:rsidRPr="00291779">
        <w:rPr>
          <w:rStyle w:val="FootnoteReference"/>
          <w:rFonts w:ascii="Garamond" w:hAnsi="Garamond"/>
        </w:rPr>
        <w:footnoteRef/>
      </w:r>
      <w:r w:rsidRPr="00291779">
        <w:rPr>
          <w:rFonts w:ascii="Garamond" w:hAnsi="Garamond"/>
        </w:rPr>
        <w:t xml:space="preserve">  </w:t>
      </w:r>
      <w:r w:rsidRPr="002F3816">
        <w:rPr>
          <w:rFonts w:ascii="Garamond" w:hAnsi="Garamond"/>
        </w:rPr>
        <w:t xml:space="preserve">In re </w:t>
      </w:r>
      <w:r w:rsidRPr="002F3816">
        <w:rPr>
          <w:rFonts w:ascii="Garamond" w:hAnsi="Garamond"/>
          <w:i/>
        </w:rPr>
        <w:t xml:space="preserve">Guseck, </w:t>
      </w:r>
      <w:r w:rsidR="002F3816" w:rsidRPr="002F3816">
        <w:rPr>
          <w:rStyle w:val="apple-style-span"/>
          <w:rFonts w:ascii="Garamond" w:hAnsi="Garamond" w:cs="Arial"/>
          <w:color w:val="000000"/>
          <w:szCs w:val="20"/>
        </w:rPr>
        <w:t>310 B.R. 400 (Bankr. E.D. Wis. 2004</w:t>
      </w:r>
      <w:r w:rsidR="002F3816">
        <w:rPr>
          <w:rStyle w:val="apple-style-span"/>
          <w:rFonts w:ascii="Arial" w:hAnsi="Arial" w:cs="Arial"/>
          <w:color w:val="000000"/>
          <w:sz w:val="20"/>
          <w:szCs w:val="20"/>
        </w:rPr>
        <w:t>)</w:t>
      </w:r>
      <w:r w:rsidR="002F3816">
        <w:rPr>
          <w:rFonts w:ascii="Garamond" w:hAnsi="Garamond"/>
        </w:rPr>
        <w:t>.</w:t>
      </w:r>
    </w:p>
    <w:p w:rsidR="00291779" w:rsidRDefault="00291779">
      <w:pPr>
        <w:pStyle w:val="FootnoteText"/>
      </w:pPr>
    </w:p>
  </w:footnote>
  <w:footnote w:id="3">
    <w:p w:rsidR="00645889" w:rsidRPr="002F3816" w:rsidRDefault="00645889" w:rsidP="00645889">
      <w:pPr>
        <w:autoSpaceDE w:val="0"/>
        <w:autoSpaceDN w:val="0"/>
        <w:adjustRightInd w:val="0"/>
        <w:rPr>
          <w:rFonts w:ascii="Garamond" w:hAnsi="Garamond" w:cs="CenturySchoolbook"/>
        </w:rPr>
      </w:pPr>
      <w:r w:rsidRPr="002F3816">
        <w:rPr>
          <w:rStyle w:val="FootnoteReference"/>
          <w:rFonts w:ascii="Garamond" w:hAnsi="Garamond"/>
        </w:rPr>
        <w:footnoteRef/>
      </w:r>
      <w:r w:rsidRPr="002F3816">
        <w:rPr>
          <w:rFonts w:ascii="Garamond" w:hAnsi="Garamond"/>
        </w:rPr>
        <w:t xml:space="preserve"> </w:t>
      </w:r>
      <w:r w:rsidRPr="002F3816">
        <w:rPr>
          <w:rFonts w:ascii="Garamond" w:hAnsi="Garamond" w:cs="CenturySchoolbook-Italic"/>
          <w:i/>
          <w:iCs/>
        </w:rPr>
        <w:t xml:space="preserve">See </w:t>
      </w:r>
      <w:r w:rsidRPr="002F3816">
        <w:rPr>
          <w:rFonts w:ascii="Garamond" w:hAnsi="Garamond" w:cs="CenturySchoolbook"/>
        </w:rPr>
        <w:t xml:space="preserve">Ralph Brubaker, </w:t>
      </w:r>
      <w:r w:rsidRPr="002F3816">
        <w:rPr>
          <w:rFonts w:ascii="Garamond" w:hAnsi="Garamond" w:cs="CenturySchoolbook-Italic"/>
          <w:i/>
          <w:iCs/>
        </w:rPr>
        <w:t>Explaining Katz’s New Bankruptcy Exception to State Sovereign</w:t>
      </w:r>
    </w:p>
    <w:p w:rsidR="00645889" w:rsidRDefault="00645889" w:rsidP="00645889">
      <w:pPr>
        <w:autoSpaceDE w:val="0"/>
        <w:autoSpaceDN w:val="0"/>
        <w:adjustRightInd w:val="0"/>
        <w:rPr>
          <w:rFonts w:ascii="CenturySchoolbook" w:hAnsi="CenturySchoolbook" w:cs="CenturySchoolbook"/>
        </w:rPr>
      </w:pPr>
      <w:r>
        <w:rPr>
          <w:rFonts w:ascii="CenturySchoolbook-Italic" w:hAnsi="CenturySchoolbook-Italic" w:cs="CenturySchoolbook-Italic"/>
          <w:i/>
          <w:iCs/>
        </w:rPr>
        <w:t>Immunity: The Bankruptcy Power as a Federal Forum Power</w:t>
      </w:r>
      <w:r>
        <w:rPr>
          <w:rFonts w:ascii="CenturySchoolbook" w:hAnsi="CenturySchoolbook" w:cs="CenturySchoolbook"/>
        </w:rPr>
        <w:t>, 15 Am. Bankr. Inst.</w:t>
      </w:r>
    </w:p>
    <w:p w:rsidR="00645889" w:rsidRDefault="00645889" w:rsidP="00645889">
      <w:pPr>
        <w:autoSpaceDE w:val="0"/>
        <w:autoSpaceDN w:val="0"/>
        <w:adjustRightInd w:val="0"/>
        <w:rPr>
          <w:rFonts w:ascii="CenturySchoolbook-Italic" w:hAnsi="CenturySchoolbook-Italic" w:cs="CenturySchoolbook-Italic"/>
          <w:sz w:val="20"/>
          <w:szCs w:val="20"/>
        </w:rPr>
      </w:pPr>
      <w:r>
        <w:rPr>
          <w:rFonts w:ascii="CenturySchoolbook" w:hAnsi="CenturySchoolbook" w:cs="CenturySchoolbook"/>
        </w:rPr>
        <w:t>L. Rev. 95, 96 (2007)</w:t>
      </w:r>
      <w:r w:rsidR="002F3816">
        <w:rPr>
          <w:rFonts w:ascii="CenturySchoolbook" w:hAnsi="CenturySchoolbook" w:cs="CenturySchoolbook"/>
        </w:rPr>
        <w:t>.</w:t>
      </w:r>
    </w:p>
    <w:p w:rsidR="00645889" w:rsidRDefault="0064588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905D4"/>
    <w:multiLevelType w:val="hybridMultilevel"/>
    <w:tmpl w:val="C3D65AD2"/>
    <w:lvl w:ilvl="0" w:tplc="A6464774">
      <w:start w:val="1"/>
      <w:numFmt w:val="lowerLetter"/>
      <w:lvlText w:val="(%1)"/>
      <w:lvlJc w:val="left"/>
      <w:pPr>
        <w:ind w:left="480" w:hanging="4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312228A2"/>
    <w:multiLevelType w:val="hybridMultilevel"/>
    <w:tmpl w:val="E4529F70"/>
    <w:lvl w:ilvl="0" w:tplc="5C467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numFmt w:val="decimal"/>
    <w:endnote w:id="-1"/>
    <w:endnote w:id="0"/>
  </w:endnotePr>
  <w:compat/>
  <w:rsids>
    <w:rsidRoot w:val="0046298A"/>
    <w:rsid w:val="00126C33"/>
    <w:rsid w:val="001A02F8"/>
    <w:rsid w:val="00291779"/>
    <w:rsid w:val="002F3816"/>
    <w:rsid w:val="00302273"/>
    <w:rsid w:val="00337326"/>
    <w:rsid w:val="003E2E68"/>
    <w:rsid w:val="0046298A"/>
    <w:rsid w:val="005541F1"/>
    <w:rsid w:val="00562BA9"/>
    <w:rsid w:val="005B2C1A"/>
    <w:rsid w:val="00645889"/>
    <w:rsid w:val="00680DE9"/>
    <w:rsid w:val="00731278"/>
    <w:rsid w:val="007B1CE4"/>
    <w:rsid w:val="00A65DE9"/>
    <w:rsid w:val="00B24BA0"/>
    <w:rsid w:val="00B73D06"/>
    <w:rsid w:val="00B86D2D"/>
    <w:rsid w:val="00D069C3"/>
    <w:rsid w:val="00DB6001"/>
    <w:rsid w:val="00E06921"/>
    <w:rsid w:val="00E9596D"/>
    <w:rsid w:val="00EC759C"/>
    <w:rsid w:val="00F12ACF"/>
    <w:rsid w:val="00FB0E98"/>
    <w:rsid w:val="00FD2F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46298A"/>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6298A"/>
  </w:style>
  <w:style w:type="character" w:styleId="Hyperlink">
    <w:name w:val="Hyperlink"/>
    <w:basedOn w:val="DefaultParagraphFont"/>
    <w:uiPriority w:val="99"/>
    <w:semiHidden/>
    <w:unhideWhenUsed/>
    <w:rsid w:val="0046298A"/>
    <w:rPr>
      <w:color w:val="0000FF"/>
      <w:u w:val="single"/>
    </w:rPr>
  </w:style>
  <w:style w:type="paragraph" w:styleId="NormalWeb">
    <w:name w:val="Normal (Web)"/>
    <w:basedOn w:val="Normal"/>
    <w:uiPriority w:val="99"/>
    <w:semiHidden/>
    <w:unhideWhenUsed/>
    <w:rsid w:val="0046298A"/>
    <w:pPr>
      <w:spacing w:before="100" w:beforeAutospacing="1" w:after="100" w:afterAutospacing="1"/>
    </w:pPr>
  </w:style>
  <w:style w:type="character" w:customStyle="1" w:styleId="Heading2Char">
    <w:name w:val="Heading 2 Char"/>
    <w:basedOn w:val="DefaultParagraphFont"/>
    <w:link w:val="Heading2"/>
    <w:uiPriority w:val="9"/>
    <w:rsid w:val="0046298A"/>
    <w:rPr>
      <w:b/>
      <w:bCs/>
      <w:sz w:val="36"/>
      <w:szCs w:val="36"/>
    </w:rPr>
  </w:style>
  <w:style w:type="paragraph" w:customStyle="1" w:styleId="casecite">
    <w:name w:val="case_cite"/>
    <w:basedOn w:val="Normal"/>
    <w:rsid w:val="0046298A"/>
    <w:pPr>
      <w:spacing w:before="100" w:beforeAutospacing="1" w:after="100" w:afterAutospacing="1"/>
    </w:pPr>
  </w:style>
  <w:style w:type="paragraph" w:customStyle="1" w:styleId="parties">
    <w:name w:val="parties"/>
    <w:basedOn w:val="Normal"/>
    <w:rsid w:val="0046298A"/>
    <w:pPr>
      <w:spacing w:before="100" w:beforeAutospacing="1" w:after="100" w:afterAutospacing="1"/>
    </w:pPr>
  </w:style>
  <w:style w:type="paragraph" w:customStyle="1" w:styleId="docket">
    <w:name w:val="docket"/>
    <w:basedOn w:val="Normal"/>
    <w:rsid w:val="0046298A"/>
    <w:pPr>
      <w:spacing w:before="100" w:beforeAutospacing="1" w:after="100" w:afterAutospacing="1"/>
    </w:pPr>
  </w:style>
  <w:style w:type="paragraph" w:customStyle="1" w:styleId="court">
    <w:name w:val="court"/>
    <w:basedOn w:val="Normal"/>
    <w:rsid w:val="0046298A"/>
    <w:pPr>
      <w:spacing w:before="100" w:beforeAutospacing="1" w:after="100" w:afterAutospacing="1"/>
    </w:pPr>
  </w:style>
  <w:style w:type="paragraph" w:customStyle="1" w:styleId="date">
    <w:name w:val="date"/>
    <w:basedOn w:val="Normal"/>
    <w:rsid w:val="0046298A"/>
    <w:pPr>
      <w:spacing w:before="100" w:beforeAutospacing="1" w:after="100" w:afterAutospacing="1"/>
    </w:pPr>
  </w:style>
  <w:style w:type="paragraph" w:customStyle="1" w:styleId="indent">
    <w:name w:val="indent"/>
    <w:basedOn w:val="Normal"/>
    <w:rsid w:val="0046298A"/>
    <w:pPr>
      <w:spacing w:before="100" w:beforeAutospacing="1" w:after="100" w:afterAutospacing="1"/>
    </w:pPr>
  </w:style>
  <w:style w:type="character" w:customStyle="1" w:styleId="num">
    <w:name w:val="num"/>
    <w:basedOn w:val="DefaultParagraphFont"/>
    <w:rsid w:val="0046298A"/>
  </w:style>
  <w:style w:type="character" w:customStyle="1" w:styleId="apple-style-span">
    <w:name w:val="apple-style-span"/>
    <w:basedOn w:val="DefaultParagraphFont"/>
    <w:rsid w:val="005541F1"/>
  </w:style>
  <w:style w:type="character" w:customStyle="1" w:styleId="enumbell">
    <w:name w:val="enumbell"/>
    <w:basedOn w:val="DefaultParagraphFont"/>
    <w:rsid w:val="00B73D06"/>
  </w:style>
  <w:style w:type="character" w:customStyle="1" w:styleId="ptext-1">
    <w:name w:val="ptext-1"/>
    <w:basedOn w:val="DefaultParagraphFont"/>
    <w:rsid w:val="00B73D06"/>
  </w:style>
  <w:style w:type="character" w:customStyle="1" w:styleId="ptext-2">
    <w:name w:val="ptext-2"/>
    <w:basedOn w:val="DefaultParagraphFont"/>
    <w:rsid w:val="00B73D06"/>
  </w:style>
  <w:style w:type="paragraph" w:styleId="EndnoteText">
    <w:name w:val="endnote text"/>
    <w:basedOn w:val="Normal"/>
    <w:link w:val="EndnoteTextChar"/>
    <w:uiPriority w:val="99"/>
    <w:semiHidden/>
    <w:unhideWhenUsed/>
    <w:rsid w:val="00302273"/>
    <w:rPr>
      <w:sz w:val="20"/>
      <w:szCs w:val="20"/>
    </w:rPr>
  </w:style>
  <w:style w:type="character" w:customStyle="1" w:styleId="EndnoteTextChar">
    <w:name w:val="Endnote Text Char"/>
    <w:basedOn w:val="DefaultParagraphFont"/>
    <w:link w:val="EndnoteText"/>
    <w:uiPriority w:val="99"/>
    <w:semiHidden/>
    <w:rsid w:val="00302273"/>
  </w:style>
  <w:style w:type="character" w:styleId="EndnoteReference">
    <w:name w:val="endnote reference"/>
    <w:basedOn w:val="DefaultParagraphFont"/>
    <w:uiPriority w:val="99"/>
    <w:semiHidden/>
    <w:unhideWhenUsed/>
    <w:rsid w:val="00302273"/>
    <w:rPr>
      <w:vertAlign w:val="superscript"/>
    </w:rPr>
  </w:style>
  <w:style w:type="paragraph" w:styleId="FootnoteText">
    <w:name w:val="footnote text"/>
    <w:basedOn w:val="Normal"/>
    <w:link w:val="FootnoteTextChar"/>
    <w:uiPriority w:val="99"/>
    <w:semiHidden/>
    <w:unhideWhenUsed/>
    <w:rsid w:val="00302273"/>
    <w:rPr>
      <w:sz w:val="20"/>
      <w:szCs w:val="20"/>
    </w:rPr>
  </w:style>
  <w:style w:type="character" w:customStyle="1" w:styleId="FootnoteTextChar">
    <w:name w:val="Footnote Text Char"/>
    <w:basedOn w:val="DefaultParagraphFont"/>
    <w:link w:val="FootnoteText"/>
    <w:uiPriority w:val="99"/>
    <w:semiHidden/>
    <w:rsid w:val="00302273"/>
  </w:style>
  <w:style w:type="character" w:styleId="FootnoteReference">
    <w:name w:val="footnote reference"/>
    <w:basedOn w:val="DefaultParagraphFont"/>
    <w:uiPriority w:val="99"/>
    <w:semiHidden/>
    <w:unhideWhenUsed/>
    <w:rsid w:val="00302273"/>
    <w:rPr>
      <w:vertAlign w:val="superscript"/>
    </w:rPr>
  </w:style>
  <w:style w:type="paragraph" w:styleId="Header">
    <w:name w:val="header"/>
    <w:basedOn w:val="Normal"/>
    <w:link w:val="HeaderChar"/>
    <w:uiPriority w:val="99"/>
    <w:semiHidden/>
    <w:unhideWhenUsed/>
    <w:rsid w:val="00EC759C"/>
    <w:pPr>
      <w:tabs>
        <w:tab w:val="center" w:pos="4680"/>
        <w:tab w:val="right" w:pos="9360"/>
      </w:tabs>
    </w:pPr>
  </w:style>
  <w:style w:type="character" w:customStyle="1" w:styleId="HeaderChar">
    <w:name w:val="Header Char"/>
    <w:basedOn w:val="DefaultParagraphFont"/>
    <w:link w:val="Header"/>
    <w:uiPriority w:val="99"/>
    <w:semiHidden/>
    <w:rsid w:val="00EC759C"/>
    <w:rPr>
      <w:sz w:val="24"/>
      <w:szCs w:val="24"/>
    </w:rPr>
  </w:style>
  <w:style w:type="paragraph" w:styleId="Footer">
    <w:name w:val="footer"/>
    <w:basedOn w:val="Normal"/>
    <w:link w:val="FooterChar"/>
    <w:uiPriority w:val="99"/>
    <w:unhideWhenUsed/>
    <w:rsid w:val="00EC759C"/>
    <w:pPr>
      <w:tabs>
        <w:tab w:val="center" w:pos="4680"/>
        <w:tab w:val="right" w:pos="9360"/>
      </w:tabs>
    </w:pPr>
  </w:style>
  <w:style w:type="character" w:customStyle="1" w:styleId="FooterChar">
    <w:name w:val="Footer Char"/>
    <w:basedOn w:val="DefaultParagraphFont"/>
    <w:link w:val="Footer"/>
    <w:uiPriority w:val="99"/>
    <w:rsid w:val="00EC759C"/>
    <w:rPr>
      <w:sz w:val="24"/>
      <w:szCs w:val="24"/>
    </w:rPr>
  </w:style>
</w:styles>
</file>

<file path=word/webSettings.xml><?xml version="1.0" encoding="utf-8"?>
<w:webSettings xmlns:r="http://schemas.openxmlformats.org/officeDocument/2006/relationships" xmlns:w="http://schemas.openxmlformats.org/wordprocessingml/2006/main">
  <w:divs>
    <w:div w:id="73939493">
      <w:bodyDiv w:val="1"/>
      <w:marLeft w:val="0"/>
      <w:marRight w:val="0"/>
      <w:marTop w:val="0"/>
      <w:marBottom w:val="0"/>
      <w:divBdr>
        <w:top w:val="none" w:sz="0" w:space="0" w:color="auto"/>
        <w:left w:val="none" w:sz="0" w:space="0" w:color="auto"/>
        <w:bottom w:val="none" w:sz="0" w:space="0" w:color="auto"/>
        <w:right w:val="none" w:sz="0" w:space="0" w:color="auto"/>
      </w:divBdr>
      <w:divsChild>
        <w:div w:id="1184050218">
          <w:marLeft w:val="0"/>
          <w:marRight w:val="0"/>
          <w:marTop w:val="0"/>
          <w:marBottom w:val="0"/>
          <w:divBdr>
            <w:top w:val="none" w:sz="0" w:space="0" w:color="auto"/>
            <w:left w:val="none" w:sz="0" w:space="0" w:color="auto"/>
            <w:bottom w:val="none" w:sz="0" w:space="0" w:color="auto"/>
            <w:right w:val="none" w:sz="0" w:space="0" w:color="auto"/>
          </w:divBdr>
          <w:divsChild>
            <w:div w:id="1067342476">
              <w:marLeft w:val="0"/>
              <w:marRight w:val="0"/>
              <w:marTop w:val="0"/>
              <w:marBottom w:val="0"/>
              <w:divBdr>
                <w:top w:val="none" w:sz="0" w:space="0" w:color="auto"/>
                <w:left w:val="none" w:sz="0" w:space="0" w:color="auto"/>
                <w:bottom w:val="none" w:sz="0" w:space="0" w:color="auto"/>
                <w:right w:val="none" w:sz="0" w:space="0" w:color="auto"/>
              </w:divBdr>
            </w:div>
          </w:divsChild>
        </w:div>
        <w:div w:id="1528905562">
          <w:marLeft w:val="0"/>
          <w:marRight w:val="0"/>
          <w:marTop w:val="0"/>
          <w:marBottom w:val="0"/>
          <w:divBdr>
            <w:top w:val="none" w:sz="0" w:space="0" w:color="auto"/>
            <w:left w:val="none" w:sz="0" w:space="0" w:color="auto"/>
            <w:bottom w:val="none" w:sz="0" w:space="0" w:color="auto"/>
            <w:right w:val="none" w:sz="0" w:space="0" w:color="auto"/>
          </w:divBdr>
          <w:divsChild>
            <w:div w:id="1750034936">
              <w:marLeft w:val="360"/>
              <w:marRight w:val="0"/>
              <w:marTop w:val="0"/>
              <w:marBottom w:val="0"/>
              <w:divBdr>
                <w:top w:val="none" w:sz="0" w:space="0" w:color="auto"/>
                <w:left w:val="none" w:sz="0" w:space="0" w:color="auto"/>
                <w:bottom w:val="none" w:sz="0" w:space="0" w:color="auto"/>
                <w:right w:val="none" w:sz="0" w:space="0" w:color="auto"/>
              </w:divBdr>
            </w:div>
            <w:div w:id="662396503">
              <w:marLeft w:val="360"/>
              <w:marRight w:val="0"/>
              <w:marTop w:val="0"/>
              <w:marBottom w:val="0"/>
              <w:divBdr>
                <w:top w:val="none" w:sz="0" w:space="0" w:color="auto"/>
                <w:left w:val="none" w:sz="0" w:space="0" w:color="auto"/>
                <w:bottom w:val="none" w:sz="0" w:space="0" w:color="auto"/>
                <w:right w:val="none" w:sz="0" w:space="0" w:color="auto"/>
              </w:divBdr>
              <w:divsChild>
                <w:div w:id="2144081475">
                  <w:marLeft w:val="330"/>
                  <w:marRight w:val="0"/>
                  <w:marTop w:val="0"/>
                  <w:marBottom w:val="0"/>
                  <w:divBdr>
                    <w:top w:val="none" w:sz="0" w:space="0" w:color="auto"/>
                    <w:left w:val="none" w:sz="0" w:space="0" w:color="auto"/>
                    <w:bottom w:val="none" w:sz="0" w:space="0" w:color="auto"/>
                    <w:right w:val="none" w:sz="0" w:space="0" w:color="auto"/>
                  </w:divBdr>
                </w:div>
                <w:div w:id="121969532">
                  <w:marLeft w:val="330"/>
                  <w:marRight w:val="0"/>
                  <w:marTop w:val="0"/>
                  <w:marBottom w:val="0"/>
                  <w:divBdr>
                    <w:top w:val="none" w:sz="0" w:space="0" w:color="auto"/>
                    <w:left w:val="none" w:sz="0" w:space="0" w:color="auto"/>
                    <w:bottom w:val="none" w:sz="0" w:space="0" w:color="auto"/>
                    <w:right w:val="none" w:sz="0" w:space="0" w:color="auto"/>
                  </w:divBdr>
                </w:div>
                <w:div w:id="10512332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00766">
      <w:bodyDiv w:val="1"/>
      <w:marLeft w:val="0"/>
      <w:marRight w:val="0"/>
      <w:marTop w:val="0"/>
      <w:marBottom w:val="0"/>
      <w:divBdr>
        <w:top w:val="none" w:sz="0" w:space="0" w:color="auto"/>
        <w:left w:val="none" w:sz="0" w:space="0" w:color="auto"/>
        <w:bottom w:val="none" w:sz="0" w:space="0" w:color="auto"/>
        <w:right w:val="none" w:sz="0" w:space="0" w:color="auto"/>
      </w:divBdr>
      <w:divsChild>
        <w:div w:id="569968492">
          <w:marLeft w:val="0"/>
          <w:marRight w:val="0"/>
          <w:marTop w:val="0"/>
          <w:marBottom w:val="0"/>
          <w:divBdr>
            <w:top w:val="dotted" w:sz="6" w:space="0" w:color="CCCCCC"/>
            <w:left w:val="none" w:sz="0" w:space="0" w:color="auto"/>
            <w:bottom w:val="none" w:sz="0" w:space="0" w:color="auto"/>
            <w:right w:val="none" w:sz="0" w:space="0" w:color="auto"/>
          </w:divBdr>
        </w:div>
        <w:div w:id="1242105090">
          <w:marLeft w:val="0"/>
          <w:marRight w:val="0"/>
          <w:marTop w:val="0"/>
          <w:marBottom w:val="0"/>
          <w:divBdr>
            <w:top w:val="dotted" w:sz="6" w:space="0" w:color="CCCCCC"/>
            <w:left w:val="none" w:sz="0" w:space="0" w:color="auto"/>
            <w:bottom w:val="none" w:sz="0" w:space="0" w:color="auto"/>
            <w:right w:val="none" w:sz="0" w:space="0" w:color="auto"/>
          </w:divBdr>
        </w:div>
      </w:divsChild>
    </w:div>
    <w:div w:id="533272695">
      <w:bodyDiv w:val="1"/>
      <w:marLeft w:val="0"/>
      <w:marRight w:val="0"/>
      <w:marTop w:val="0"/>
      <w:marBottom w:val="0"/>
      <w:divBdr>
        <w:top w:val="none" w:sz="0" w:space="0" w:color="auto"/>
        <w:left w:val="none" w:sz="0" w:space="0" w:color="auto"/>
        <w:bottom w:val="none" w:sz="0" w:space="0" w:color="auto"/>
        <w:right w:val="none" w:sz="0" w:space="0" w:color="auto"/>
      </w:divBdr>
      <w:divsChild>
        <w:div w:id="292177128">
          <w:marLeft w:val="0"/>
          <w:marRight w:val="0"/>
          <w:marTop w:val="0"/>
          <w:marBottom w:val="0"/>
          <w:divBdr>
            <w:top w:val="none" w:sz="0" w:space="0" w:color="auto"/>
            <w:left w:val="single" w:sz="6" w:space="0" w:color="999999"/>
            <w:bottom w:val="none" w:sz="0" w:space="0" w:color="auto"/>
            <w:right w:val="none" w:sz="0" w:space="0" w:color="auto"/>
          </w:divBdr>
          <w:divsChild>
            <w:div w:id="1541822847">
              <w:marLeft w:val="0"/>
              <w:marRight w:val="0"/>
              <w:marTop w:val="0"/>
              <w:marBottom w:val="0"/>
              <w:divBdr>
                <w:top w:val="none" w:sz="0" w:space="0" w:color="auto"/>
                <w:left w:val="none" w:sz="0" w:space="0" w:color="auto"/>
                <w:bottom w:val="none" w:sz="0" w:space="0" w:color="auto"/>
                <w:right w:val="none" w:sz="0" w:space="0" w:color="auto"/>
              </w:divBdr>
              <w:divsChild>
                <w:div w:id="3715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4840">
          <w:marLeft w:val="-150"/>
          <w:marRight w:val="-150"/>
          <w:marTop w:val="0"/>
          <w:marBottom w:val="0"/>
          <w:divBdr>
            <w:top w:val="single" w:sz="6" w:space="2" w:color="DCDCDC"/>
            <w:left w:val="none" w:sz="0" w:space="0" w:color="auto"/>
            <w:bottom w:val="none" w:sz="0" w:space="0" w:color="auto"/>
            <w:right w:val="none" w:sz="0" w:space="0" w:color="auto"/>
          </w:divBdr>
        </w:div>
      </w:divsChild>
    </w:div>
    <w:div w:id="577132538">
      <w:bodyDiv w:val="1"/>
      <w:marLeft w:val="0"/>
      <w:marRight w:val="0"/>
      <w:marTop w:val="0"/>
      <w:marBottom w:val="0"/>
      <w:divBdr>
        <w:top w:val="none" w:sz="0" w:space="0" w:color="auto"/>
        <w:left w:val="none" w:sz="0" w:space="0" w:color="auto"/>
        <w:bottom w:val="none" w:sz="0" w:space="0" w:color="auto"/>
        <w:right w:val="none" w:sz="0" w:space="0" w:color="auto"/>
      </w:divBdr>
      <w:divsChild>
        <w:div w:id="746995329">
          <w:marLeft w:val="0"/>
          <w:marRight w:val="0"/>
          <w:marTop w:val="0"/>
          <w:marBottom w:val="0"/>
          <w:divBdr>
            <w:top w:val="none" w:sz="0" w:space="0" w:color="auto"/>
            <w:left w:val="none" w:sz="0" w:space="0" w:color="auto"/>
            <w:bottom w:val="none" w:sz="0" w:space="0" w:color="auto"/>
            <w:right w:val="none" w:sz="0" w:space="0" w:color="auto"/>
          </w:divBdr>
        </w:div>
        <w:div w:id="1257404319">
          <w:marLeft w:val="0"/>
          <w:marRight w:val="0"/>
          <w:marTop w:val="0"/>
          <w:marBottom w:val="0"/>
          <w:divBdr>
            <w:top w:val="none" w:sz="0" w:space="0" w:color="auto"/>
            <w:left w:val="none" w:sz="0" w:space="0" w:color="auto"/>
            <w:bottom w:val="none" w:sz="0" w:space="0" w:color="auto"/>
            <w:right w:val="none" w:sz="0" w:space="0" w:color="auto"/>
          </w:divBdr>
        </w:div>
        <w:div w:id="2092585056">
          <w:marLeft w:val="0"/>
          <w:marRight w:val="0"/>
          <w:marTop w:val="0"/>
          <w:marBottom w:val="0"/>
          <w:divBdr>
            <w:top w:val="none" w:sz="0" w:space="0" w:color="auto"/>
            <w:left w:val="none" w:sz="0" w:space="0" w:color="auto"/>
            <w:bottom w:val="none" w:sz="0" w:space="0" w:color="auto"/>
            <w:right w:val="none" w:sz="0" w:space="0" w:color="auto"/>
          </w:divBdr>
        </w:div>
      </w:divsChild>
    </w:div>
    <w:div w:id="896473572">
      <w:bodyDiv w:val="1"/>
      <w:marLeft w:val="0"/>
      <w:marRight w:val="0"/>
      <w:marTop w:val="0"/>
      <w:marBottom w:val="0"/>
      <w:divBdr>
        <w:top w:val="none" w:sz="0" w:space="0" w:color="auto"/>
        <w:left w:val="none" w:sz="0" w:space="0" w:color="auto"/>
        <w:bottom w:val="none" w:sz="0" w:space="0" w:color="auto"/>
        <w:right w:val="none" w:sz="0" w:space="0" w:color="auto"/>
      </w:divBdr>
      <w:divsChild>
        <w:div w:id="435977833">
          <w:marLeft w:val="0"/>
          <w:marRight w:val="0"/>
          <w:marTop w:val="0"/>
          <w:marBottom w:val="0"/>
          <w:divBdr>
            <w:top w:val="none" w:sz="0" w:space="0" w:color="auto"/>
            <w:left w:val="none" w:sz="0" w:space="0" w:color="auto"/>
            <w:bottom w:val="none" w:sz="0" w:space="0" w:color="auto"/>
            <w:right w:val="none" w:sz="0" w:space="0" w:color="auto"/>
          </w:divBdr>
        </w:div>
        <w:div w:id="1319648594">
          <w:marLeft w:val="0"/>
          <w:marRight w:val="0"/>
          <w:marTop w:val="0"/>
          <w:marBottom w:val="0"/>
          <w:divBdr>
            <w:top w:val="none" w:sz="0" w:space="0" w:color="auto"/>
            <w:left w:val="none" w:sz="0" w:space="0" w:color="auto"/>
            <w:bottom w:val="none" w:sz="0" w:space="0" w:color="auto"/>
            <w:right w:val="none" w:sz="0" w:space="0" w:color="auto"/>
          </w:divBdr>
        </w:div>
      </w:divsChild>
    </w:div>
    <w:div w:id="941188629">
      <w:bodyDiv w:val="1"/>
      <w:marLeft w:val="0"/>
      <w:marRight w:val="0"/>
      <w:marTop w:val="0"/>
      <w:marBottom w:val="0"/>
      <w:divBdr>
        <w:top w:val="none" w:sz="0" w:space="0" w:color="auto"/>
        <w:left w:val="none" w:sz="0" w:space="0" w:color="auto"/>
        <w:bottom w:val="none" w:sz="0" w:space="0" w:color="auto"/>
        <w:right w:val="none" w:sz="0" w:space="0" w:color="auto"/>
      </w:divBdr>
    </w:div>
    <w:div w:id="1002970841">
      <w:bodyDiv w:val="1"/>
      <w:marLeft w:val="0"/>
      <w:marRight w:val="0"/>
      <w:marTop w:val="0"/>
      <w:marBottom w:val="0"/>
      <w:divBdr>
        <w:top w:val="none" w:sz="0" w:space="0" w:color="auto"/>
        <w:left w:val="none" w:sz="0" w:space="0" w:color="auto"/>
        <w:bottom w:val="none" w:sz="0" w:space="0" w:color="auto"/>
        <w:right w:val="none" w:sz="0" w:space="0" w:color="auto"/>
      </w:divBdr>
      <w:divsChild>
        <w:div w:id="115956002">
          <w:marLeft w:val="0"/>
          <w:marRight w:val="0"/>
          <w:marTop w:val="0"/>
          <w:marBottom w:val="0"/>
          <w:divBdr>
            <w:top w:val="none" w:sz="0" w:space="0" w:color="auto"/>
            <w:left w:val="none" w:sz="0" w:space="0" w:color="auto"/>
            <w:bottom w:val="none" w:sz="0" w:space="0" w:color="auto"/>
            <w:right w:val="none" w:sz="0" w:space="0" w:color="auto"/>
          </w:divBdr>
        </w:div>
        <w:div w:id="502819104">
          <w:marLeft w:val="0"/>
          <w:marRight w:val="0"/>
          <w:marTop w:val="0"/>
          <w:marBottom w:val="0"/>
          <w:divBdr>
            <w:top w:val="none" w:sz="0" w:space="0" w:color="auto"/>
            <w:left w:val="none" w:sz="0" w:space="0" w:color="auto"/>
            <w:bottom w:val="none" w:sz="0" w:space="0" w:color="auto"/>
            <w:right w:val="none" w:sz="0" w:space="0" w:color="auto"/>
          </w:divBdr>
        </w:div>
        <w:div w:id="713190516">
          <w:marLeft w:val="0"/>
          <w:marRight w:val="0"/>
          <w:marTop w:val="0"/>
          <w:marBottom w:val="0"/>
          <w:divBdr>
            <w:top w:val="none" w:sz="0" w:space="0" w:color="auto"/>
            <w:left w:val="none" w:sz="0" w:space="0" w:color="auto"/>
            <w:bottom w:val="none" w:sz="0" w:space="0" w:color="auto"/>
            <w:right w:val="none" w:sz="0" w:space="0" w:color="auto"/>
          </w:divBdr>
        </w:div>
        <w:div w:id="1473712971">
          <w:marLeft w:val="0"/>
          <w:marRight w:val="0"/>
          <w:marTop w:val="0"/>
          <w:marBottom w:val="0"/>
          <w:divBdr>
            <w:top w:val="none" w:sz="0" w:space="0" w:color="auto"/>
            <w:left w:val="none" w:sz="0" w:space="0" w:color="auto"/>
            <w:bottom w:val="none" w:sz="0" w:space="0" w:color="auto"/>
            <w:right w:val="none" w:sz="0" w:space="0" w:color="auto"/>
          </w:divBdr>
        </w:div>
      </w:divsChild>
    </w:div>
    <w:div w:id="1009021382">
      <w:bodyDiv w:val="1"/>
      <w:marLeft w:val="0"/>
      <w:marRight w:val="0"/>
      <w:marTop w:val="0"/>
      <w:marBottom w:val="0"/>
      <w:divBdr>
        <w:top w:val="none" w:sz="0" w:space="0" w:color="auto"/>
        <w:left w:val="none" w:sz="0" w:space="0" w:color="auto"/>
        <w:bottom w:val="none" w:sz="0" w:space="0" w:color="auto"/>
        <w:right w:val="none" w:sz="0" w:space="0" w:color="auto"/>
      </w:divBdr>
    </w:div>
    <w:div w:id="1043410086">
      <w:bodyDiv w:val="1"/>
      <w:marLeft w:val="0"/>
      <w:marRight w:val="0"/>
      <w:marTop w:val="0"/>
      <w:marBottom w:val="0"/>
      <w:divBdr>
        <w:top w:val="none" w:sz="0" w:space="0" w:color="auto"/>
        <w:left w:val="none" w:sz="0" w:space="0" w:color="auto"/>
        <w:bottom w:val="none" w:sz="0" w:space="0" w:color="auto"/>
        <w:right w:val="none" w:sz="0" w:space="0" w:color="auto"/>
      </w:divBdr>
      <w:divsChild>
        <w:div w:id="168914229">
          <w:marLeft w:val="0"/>
          <w:marRight w:val="0"/>
          <w:marTop w:val="0"/>
          <w:marBottom w:val="0"/>
          <w:divBdr>
            <w:top w:val="none" w:sz="0" w:space="0" w:color="auto"/>
            <w:left w:val="none" w:sz="0" w:space="0" w:color="auto"/>
            <w:bottom w:val="none" w:sz="0" w:space="0" w:color="auto"/>
            <w:right w:val="none" w:sz="0" w:space="0" w:color="auto"/>
          </w:divBdr>
        </w:div>
        <w:div w:id="320891755">
          <w:marLeft w:val="0"/>
          <w:marRight w:val="0"/>
          <w:marTop w:val="0"/>
          <w:marBottom w:val="0"/>
          <w:divBdr>
            <w:top w:val="none" w:sz="0" w:space="0" w:color="auto"/>
            <w:left w:val="none" w:sz="0" w:space="0" w:color="auto"/>
            <w:bottom w:val="none" w:sz="0" w:space="0" w:color="auto"/>
            <w:right w:val="none" w:sz="0" w:space="0" w:color="auto"/>
          </w:divBdr>
        </w:div>
        <w:div w:id="767770482">
          <w:marLeft w:val="0"/>
          <w:marRight w:val="0"/>
          <w:marTop w:val="0"/>
          <w:marBottom w:val="0"/>
          <w:divBdr>
            <w:top w:val="none" w:sz="0" w:space="0" w:color="auto"/>
            <w:left w:val="none" w:sz="0" w:space="0" w:color="auto"/>
            <w:bottom w:val="none" w:sz="0" w:space="0" w:color="auto"/>
            <w:right w:val="none" w:sz="0" w:space="0" w:color="auto"/>
          </w:divBdr>
        </w:div>
      </w:divsChild>
    </w:div>
    <w:div w:id="1100101395">
      <w:bodyDiv w:val="1"/>
      <w:marLeft w:val="0"/>
      <w:marRight w:val="0"/>
      <w:marTop w:val="0"/>
      <w:marBottom w:val="0"/>
      <w:divBdr>
        <w:top w:val="none" w:sz="0" w:space="0" w:color="auto"/>
        <w:left w:val="none" w:sz="0" w:space="0" w:color="auto"/>
        <w:bottom w:val="none" w:sz="0" w:space="0" w:color="auto"/>
        <w:right w:val="none" w:sz="0" w:space="0" w:color="auto"/>
      </w:divBdr>
    </w:div>
    <w:div w:id="1132409502">
      <w:bodyDiv w:val="1"/>
      <w:marLeft w:val="0"/>
      <w:marRight w:val="0"/>
      <w:marTop w:val="0"/>
      <w:marBottom w:val="0"/>
      <w:divBdr>
        <w:top w:val="none" w:sz="0" w:space="0" w:color="auto"/>
        <w:left w:val="none" w:sz="0" w:space="0" w:color="auto"/>
        <w:bottom w:val="none" w:sz="0" w:space="0" w:color="auto"/>
        <w:right w:val="none" w:sz="0" w:space="0" w:color="auto"/>
      </w:divBdr>
      <w:divsChild>
        <w:div w:id="1476988863">
          <w:marLeft w:val="0"/>
          <w:marRight w:val="0"/>
          <w:marTop w:val="0"/>
          <w:marBottom w:val="0"/>
          <w:divBdr>
            <w:top w:val="none" w:sz="0" w:space="0" w:color="auto"/>
            <w:left w:val="none" w:sz="0" w:space="0" w:color="auto"/>
            <w:bottom w:val="none" w:sz="0" w:space="0" w:color="auto"/>
            <w:right w:val="none" w:sz="0" w:space="0" w:color="auto"/>
          </w:divBdr>
        </w:div>
        <w:div w:id="200172524">
          <w:marLeft w:val="0"/>
          <w:marRight w:val="0"/>
          <w:marTop w:val="0"/>
          <w:marBottom w:val="0"/>
          <w:divBdr>
            <w:top w:val="none" w:sz="0" w:space="0" w:color="auto"/>
            <w:left w:val="none" w:sz="0" w:space="0" w:color="auto"/>
            <w:bottom w:val="none" w:sz="0" w:space="0" w:color="auto"/>
            <w:right w:val="none" w:sz="0" w:space="0" w:color="auto"/>
          </w:divBdr>
        </w:div>
        <w:div w:id="1979989212">
          <w:marLeft w:val="0"/>
          <w:marRight w:val="0"/>
          <w:marTop w:val="0"/>
          <w:marBottom w:val="0"/>
          <w:divBdr>
            <w:top w:val="none" w:sz="0" w:space="0" w:color="auto"/>
            <w:left w:val="none" w:sz="0" w:space="0" w:color="auto"/>
            <w:bottom w:val="none" w:sz="0" w:space="0" w:color="auto"/>
            <w:right w:val="none" w:sz="0" w:space="0" w:color="auto"/>
          </w:divBdr>
        </w:div>
        <w:div w:id="1509518208">
          <w:marLeft w:val="0"/>
          <w:marRight w:val="0"/>
          <w:marTop w:val="0"/>
          <w:marBottom w:val="0"/>
          <w:divBdr>
            <w:top w:val="none" w:sz="0" w:space="0" w:color="auto"/>
            <w:left w:val="none" w:sz="0" w:space="0" w:color="auto"/>
            <w:bottom w:val="none" w:sz="0" w:space="0" w:color="auto"/>
            <w:right w:val="none" w:sz="0" w:space="0" w:color="auto"/>
          </w:divBdr>
        </w:div>
      </w:divsChild>
    </w:div>
    <w:div w:id="1155415539">
      <w:bodyDiv w:val="1"/>
      <w:marLeft w:val="0"/>
      <w:marRight w:val="0"/>
      <w:marTop w:val="0"/>
      <w:marBottom w:val="0"/>
      <w:divBdr>
        <w:top w:val="none" w:sz="0" w:space="0" w:color="auto"/>
        <w:left w:val="none" w:sz="0" w:space="0" w:color="auto"/>
        <w:bottom w:val="none" w:sz="0" w:space="0" w:color="auto"/>
        <w:right w:val="none" w:sz="0" w:space="0" w:color="auto"/>
      </w:divBdr>
      <w:divsChild>
        <w:div w:id="210113302">
          <w:marLeft w:val="0"/>
          <w:marRight w:val="0"/>
          <w:marTop w:val="0"/>
          <w:marBottom w:val="0"/>
          <w:divBdr>
            <w:top w:val="none" w:sz="0" w:space="0" w:color="auto"/>
            <w:left w:val="none" w:sz="0" w:space="0" w:color="auto"/>
            <w:bottom w:val="none" w:sz="0" w:space="0" w:color="auto"/>
            <w:right w:val="none" w:sz="0" w:space="0" w:color="auto"/>
          </w:divBdr>
          <w:divsChild>
            <w:div w:id="2010407336">
              <w:marLeft w:val="-390"/>
              <w:marRight w:val="-390"/>
              <w:marTop w:val="0"/>
              <w:marBottom w:val="360"/>
              <w:divBdr>
                <w:top w:val="none" w:sz="0" w:space="0" w:color="auto"/>
                <w:left w:val="none" w:sz="0" w:space="0" w:color="auto"/>
                <w:bottom w:val="single" w:sz="6" w:space="18" w:color="E5E5E5"/>
                <w:right w:val="none" w:sz="0" w:space="0" w:color="auto"/>
              </w:divBdr>
              <w:divsChild>
                <w:div w:id="1131360075">
                  <w:marLeft w:val="0"/>
                  <w:marRight w:val="0"/>
                  <w:marTop w:val="144"/>
                  <w:marBottom w:val="144"/>
                  <w:divBdr>
                    <w:top w:val="none" w:sz="0" w:space="0" w:color="auto"/>
                    <w:left w:val="none" w:sz="0" w:space="0" w:color="auto"/>
                    <w:bottom w:val="none" w:sz="0" w:space="0" w:color="auto"/>
                    <w:right w:val="none" w:sz="0" w:space="0" w:color="auto"/>
                  </w:divBdr>
                  <w:divsChild>
                    <w:div w:id="950355783">
                      <w:marLeft w:val="0"/>
                      <w:marRight w:val="0"/>
                      <w:marTop w:val="240"/>
                      <w:marBottom w:val="360"/>
                      <w:divBdr>
                        <w:top w:val="single" w:sz="6" w:space="5" w:color="DDDDDD"/>
                        <w:left w:val="single" w:sz="6" w:space="12" w:color="DDDDDD"/>
                        <w:bottom w:val="single" w:sz="6" w:space="6" w:color="DDDDDD"/>
                        <w:right w:val="single" w:sz="6" w:space="12" w:color="DDDDDD"/>
                      </w:divBdr>
                    </w:div>
                    <w:div w:id="21136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156488">
      <w:bodyDiv w:val="1"/>
      <w:marLeft w:val="0"/>
      <w:marRight w:val="0"/>
      <w:marTop w:val="0"/>
      <w:marBottom w:val="0"/>
      <w:divBdr>
        <w:top w:val="none" w:sz="0" w:space="0" w:color="auto"/>
        <w:left w:val="none" w:sz="0" w:space="0" w:color="auto"/>
        <w:bottom w:val="none" w:sz="0" w:space="0" w:color="auto"/>
        <w:right w:val="none" w:sz="0" w:space="0" w:color="auto"/>
      </w:divBdr>
      <w:divsChild>
        <w:div w:id="419102816">
          <w:marLeft w:val="0"/>
          <w:marRight w:val="0"/>
          <w:marTop w:val="0"/>
          <w:marBottom w:val="0"/>
          <w:divBdr>
            <w:top w:val="none" w:sz="0" w:space="0" w:color="auto"/>
            <w:left w:val="none" w:sz="0" w:space="0" w:color="auto"/>
            <w:bottom w:val="none" w:sz="0" w:space="0" w:color="auto"/>
            <w:right w:val="none" w:sz="0" w:space="0" w:color="auto"/>
          </w:divBdr>
        </w:div>
        <w:div w:id="1275165984">
          <w:marLeft w:val="0"/>
          <w:marRight w:val="0"/>
          <w:marTop w:val="0"/>
          <w:marBottom w:val="0"/>
          <w:divBdr>
            <w:top w:val="none" w:sz="0" w:space="0" w:color="auto"/>
            <w:left w:val="none" w:sz="0" w:space="0" w:color="auto"/>
            <w:bottom w:val="none" w:sz="0" w:space="0" w:color="auto"/>
            <w:right w:val="none" w:sz="0" w:space="0" w:color="auto"/>
          </w:divBdr>
        </w:div>
        <w:div w:id="2027125043">
          <w:marLeft w:val="0"/>
          <w:marRight w:val="0"/>
          <w:marTop w:val="0"/>
          <w:marBottom w:val="0"/>
          <w:divBdr>
            <w:top w:val="none" w:sz="0" w:space="0" w:color="auto"/>
            <w:left w:val="none" w:sz="0" w:space="0" w:color="auto"/>
            <w:bottom w:val="none" w:sz="0" w:space="0" w:color="auto"/>
            <w:right w:val="none" w:sz="0" w:space="0" w:color="auto"/>
          </w:divBdr>
        </w:div>
      </w:divsChild>
    </w:div>
    <w:div w:id="1819565083">
      <w:bodyDiv w:val="1"/>
      <w:marLeft w:val="0"/>
      <w:marRight w:val="0"/>
      <w:marTop w:val="0"/>
      <w:marBottom w:val="0"/>
      <w:divBdr>
        <w:top w:val="none" w:sz="0" w:space="0" w:color="auto"/>
        <w:left w:val="none" w:sz="0" w:space="0" w:color="auto"/>
        <w:bottom w:val="none" w:sz="0" w:space="0" w:color="auto"/>
        <w:right w:val="none" w:sz="0" w:space="0" w:color="auto"/>
      </w:divBdr>
      <w:divsChild>
        <w:div w:id="15010466">
          <w:marLeft w:val="-150"/>
          <w:marRight w:val="-150"/>
          <w:marTop w:val="0"/>
          <w:marBottom w:val="0"/>
          <w:divBdr>
            <w:top w:val="single" w:sz="6" w:space="2" w:color="DCDCDC"/>
            <w:left w:val="none" w:sz="0" w:space="0" w:color="auto"/>
            <w:bottom w:val="none" w:sz="0" w:space="0" w:color="auto"/>
            <w:right w:val="none" w:sz="0" w:space="0" w:color="auto"/>
          </w:divBdr>
        </w:div>
        <w:div w:id="2125610605">
          <w:marLeft w:val="0"/>
          <w:marRight w:val="0"/>
          <w:marTop w:val="0"/>
          <w:marBottom w:val="0"/>
          <w:divBdr>
            <w:top w:val="none" w:sz="0" w:space="0" w:color="auto"/>
            <w:left w:val="single" w:sz="6" w:space="0" w:color="999999"/>
            <w:bottom w:val="none" w:sz="0" w:space="0" w:color="auto"/>
            <w:right w:val="none" w:sz="0" w:space="0" w:color="auto"/>
          </w:divBdr>
          <w:divsChild>
            <w:div w:id="1756247230">
              <w:marLeft w:val="0"/>
              <w:marRight w:val="0"/>
              <w:marTop w:val="0"/>
              <w:marBottom w:val="0"/>
              <w:divBdr>
                <w:top w:val="none" w:sz="0" w:space="0" w:color="auto"/>
                <w:left w:val="none" w:sz="0" w:space="0" w:color="auto"/>
                <w:bottom w:val="none" w:sz="0" w:space="0" w:color="auto"/>
                <w:right w:val="none" w:sz="0" w:space="0" w:color="auto"/>
              </w:divBdr>
              <w:divsChild>
                <w:div w:id="24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7693">
      <w:bodyDiv w:val="1"/>
      <w:marLeft w:val="0"/>
      <w:marRight w:val="0"/>
      <w:marTop w:val="0"/>
      <w:marBottom w:val="0"/>
      <w:divBdr>
        <w:top w:val="none" w:sz="0" w:space="0" w:color="auto"/>
        <w:left w:val="none" w:sz="0" w:space="0" w:color="auto"/>
        <w:bottom w:val="none" w:sz="0" w:space="0" w:color="auto"/>
        <w:right w:val="none" w:sz="0" w:space="0" w:color="auto"/>
      </w:divBdr>
      <w:divsChild>
        <w:div w:id="12194809">
          <w:marLeft w:val="0"/>
          <w:marRight w:val="0"/>
          <w:marTop w:val="0"/>
          <w:marBottom w:val="0"/>
          <w:divBdr>
            <w:top w:val="none" w:sz="0" w:space="0" w:color="auto"/>
            <w:left w:val="none" w:sz="0" w:space="0" w:color="auto"/>
            <w:bottom w:val="none" w:sz="0" w:space="0" w:color="auto"/>
            <w:right w:val="none" w:sz="0" w:space="0" w:color="auto"/>
          </w:divBdr>
        </w:div>
        <w:div w:id="904871373">
          <w:marLeft w:val="0"/>
          <w:marRight w:val="0"/>
          <w:marTop w:val="0"/>
          <w:marBottom w:val="0"/>
          <w:divBdr>
            <w:top w:val="none" w:sz="0" w:space="0" w:color="auto"/>
            <w:left w:val="none" w:sz="0" w:space="0" w:color="auto"/>
            <w:bottom w:val="none" w:sz="0" w:space="0" w:color="auto"/>
            <w:right w:val="none" w:sz="0" w:space="0" w:color="auto"/>
          </w:divBdr>
        </w:div>
        <w:div w:id="1011445569">
          <w:marLeft w:val="0"/>
          <w:marRight w:val="0"/>
          <w:marTop w:val="0"/>
          <w:marBottom w:val="0"/>
          <w:divBdr>
            <w:top w:val="none" w:sz="0" w:space="0" w:color="auto"/>
            <w:left w:val="none" w:sz="0" w:space="0" w:color="auto"/>
            <w:bottom w:val="none" w:sz="0" w:space="0" w:color="auto"/>
            <w:right w:val="none" w:sz="0" w:space="0" w:color="auto"/>
          </w:divBdr>
        </w:div>
        <w:div w:id="1173105198">
          <w:marLeft w:val="0"/>
          <w:marRight w:val="0"/>
          <w:marTop w:val="0"/>
          <w:marBottom w:val="0"/>
          <w:divBdr>
            <w:top w:val="none" w:sz="0" w:space="0" w:color="auto"/>
            <w:left w:val="none" w:sz="0" w:space="0" w:color="auto"/>
            <w:bottom w:val="none" w:sz="0" w:space="0" w:color="auto"/>
            <w:right w:val="none" w:sz="0" w:space="0" w:color="auto"/>
          </w:divBdr>
        </w:div>
      </w:divsChild>
    </w:div>
    <w:div w:id="2080250773">
      <w:bodyDiv w:val="1"/>
      <w:marLeft w:val="0"/>
      <w:marRight w:val="0"/>
      <w:marTop w:val="0"/>
      <w:marBottom w:val="0"/>
      <w:divBdr>
        <w:top w:val="none" w:sz="0" w:space="0" w:color="auto"/>
        <w:left w:val="none" w:sz="0" w:space="0" w:color="auto"/>
        <w:bottom w:val="none" w:sz="0" w:space="0" w:color="auto"/>
        <w:right w:val="none" w:sz="0" w:space="0" w:color="auto"/>
      </w:divBdr>
      <w:divsChild>
        <w:div w:id="215438933">
          <w:marLeft w:val="0"/>
          <w:marRight w:val="0"/>
          <w:marTop w:val="0"/>
          <w:marBottom w:val="0"/>
          <w:divBdr>
            <w:top w:val="none" w:sz="0" w:space="0" w:color="auto"/>
            <w:left w:val="none" w:sz="0" w:space="0" w:color="auto"/>
            <w:bottom w:val="none" w:sz="0" w:space="0" w:color="auto"/>
            <w:right w:val="none" w:sz="0" w:space="0" w:color="auto"/>
          </w:divBdr>
        </w:div>
        <w:div w:id="403645969">
          <w:marLeft w:val="0"/>
          <w:marRight w:val="0"/>
          <w:marTop w:val="0"/>
          <w:marBottom w:val="0"/>
          <w:divBdr>
            <w:top w:val="none" w:sz="0" w:space="0" w:color="auto"/>
            <w:left w:val="none" w:sz="0" w:space="0" w:color="auto"/>
            <w:bottom w:val="none" w:sz="0" w:space="0" w:color="auto"/>
            <w:right w:val="none" w:sz="0" w:space="0" w:color="auto"/>
          </w:divBdr>
        </w:div>
        <w:div w:id="1767266433">
          <w:marLeft w:val="0"/>
          <w:marRight w:val="0"/>
          <w:marTop w:val="0"/>
          <w:marBottom w:val="0"/>
          <w:divBdr>
            <w:top w:val="none" w:sz="0" w:space="0" w:color="auto"/>
            <w:left w:val="none" w:sz="0" w:space="0" w:color="auto"/>
            <w:bottom w:val="none" w:sz="0" w:space="0" w:color="auto"/>
            <w:right w:val="none" w:sz="0" w:space="0" w:color="auto"/>
          </w:divBdr>
        </w:div>
      </w:divsChild>
    </w:div>
    <w:div w:id="21054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stcase.com/Pages/Document.aspx?LTID=HiuAgcXITvR0jUUZp3fmpZL1R61J7yTSvbEJG9xiq2%2bWoG3Vseg8NSyiJTnEFnjU2EOlJVuyQKtZiqivttofx3HmYD3rHb7CN74C0cJoKplrfu8usQ5g1RWE5S9HJKbR&amp;ECF=Pastore+v.+Medford+Sav.+Bank%2c%3c%2fI%3e+186+B.R.+553+(D.Mass.1995)" TargetMode="External"/><Relationship Id="rId3" Type="http://schemas.openxmlformats.org/officeDocument/2006/relationships/settings" Target="settings.xml"/><Relationship Id="rId7" Type="http://schemas.openxmlformats.org/officeDocument/2006/relationships/hyperlink" Target="https://www.fastcase.com/Pages/Document.aspx?LTID=HiuAgcXITvR0jUUZp3fmpZL1R61J7yTSvbEJG9xiq2%2bWoG3Vseg8NSyiJTnEFnjU2EOlJVuyQKtZiqivttofx3HmYD3rHb7CN74C0cJoKplrfu8usQ5g1RWE5S9HJKbR&amp;ECF=Pastore+v.+Medford+Sav.+Bank%2c%3c%2fI%3e+186+B.R.+553+(D.Mass.19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lnb.uscourts.gov/opinions/JudgeGoldgar/Slayton.pdf" TargetMode="External"/></Relationships>
</file>

<file path=word/theme/theme1.xml><?xml version="1.0" encoding="utf-8"?>
<a:theme xmlns:a="http://schemas.openxmlformats.org/drawingml/2006/main" name="Office Theme">
  <a:themeElements>
    <a:clrScheme name="Office">
      <a:dk1>
        <a:sysClr val="windowText" lastClr="30300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2854</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 use</Company>
  <LinksUpToDate>false</LinksUpToDate>
  <CharactersWithSpaces>19090</CharactersWithSpaces>
  <SharedDoc>false</SharedDoc>
  <HLinks>
    <vt:vector size="18" baseType="variant">
      <vt:variant>
        <vt:i4>65615</vt:i4>
      </vt:variant>
      <vt:variant>
        <vt:i4>3</vt:i4>
      </vt:variant>
      <vt:variant>
        <vt:i4>0</vt:i4>
      </vt:variant>
      <vt:variant>
        <vt:i4>5</vt:i4>
      </vt:variant>
      <vt:variant>
        <vt:lpwstr>https://www.fastcase.com/Pages/Document.aspx?LTID=HiuAgcXITvR0jUUZp3fmpZL1R61J7yTSvbEJG9xiq2%2bWoG3Vseg8NSyiJTnEFnjU2EOlJVuyQKtZiqivttofx3HmYD3rHb7CN74C0cJoKplrfu8usQ5g1RWE5S9HJKbR&amp;ECF=Pastore+v.+Medford+Sav.+Bank%2c%3c%2fI%3e+186+B.R.+553+(D.Mass.1995)</vt:lpwstr>
      </vt:variant>
      <vt:variant>
        <vt:lpwstr/>
      </vt:variant>
      <vt:variant>
        <vt:i4>65615</vt:i4>
      </vt:variant>
      <vt:variant>
        <vt:i4>0</vt:i4>
      </vt:variant>
      <vt:variant>
        <vt:i4>0</vt:i4>
      </vt:variant>
      <vt:variant>
        <vt:i4>5</vt:i4>
      </vt:variant>
      <vt:variant>
        <vt:lpwstr>https://www.fastcase.com/Pages/Document.aspx?LTID=HiuAgcXITvR0jUUZp3fmpZL1R61J7yTSvbEJG9xiq2%2bWoG3Vseg8NSyiJTnEFnjU2EOlJVuyQKtZiqivttofx3HmYD3rHb7CN74C0cJoKplrfu8usQ5g1RWE5S9HJKbR&amp;ECF=Pastore+v.+Medford+Sav.+Bank%2c%3c%2fI%3e+186+B.R.+553+(D.Mass.1995)</vt:lpwstr>
      </vt:variant>
      <vt:variant>
        <vt:lpwstr/>
      </vt:variant>
      <vt:variant>
        <vt:i4>3276859</vt:i4>
      </vt:variant>
      <vt:variant>
        <vt:i4>0</vt:i4>
      </vt:variant>
      <vt:variant>
        <vt:i4>0</vt:i4>
      </vt:variant>
      <vt:variant>
        <vt:i4>5</vt:i4>
      </vt:variant>
      <vt:variant>
        <vt:lpwstr>http://www.ilnb.uscourts.gov/opinions/JudgeGoldgar/Slayton.pdf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Hennard</dc:creator>
  <cp:keywords/>
  <dc:description/>
  <cp:lastModifiedBy>David P. Leibowitz</cp:lastModifiedBy>
  <cp:revision>3</cp:revision>
  <dcterms:created xsi:type="dcterms:W3CDTF">2009-09-11T04:03:00Z</dcterms:created>
  <dcterms:modified xsi:type="dcterms:W3CDTF">2009-09-11T04:08:00Z</dcterms:modified>
</cp:coreProperties>
</file>